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1582"/>
        <w:gridCol w:w="312"/>
        <w:gridCol w:w="2579"/>
        <w:gridCol w:w="5592"/>
      </w:tblGrid>
      <w:tr w:rsidR="005D12D7" w:rsidTr="00315938">
        <w:trPr>
          <w:cantSplit/>
          <w:trHeight w:val="334"/>
          <w:jc w:val="center"/>
        </w:trPr>
        <w:tc>
          <w:tcPr>
            <w:tcW w:w="1582" w:type="dxa"/>
            <w:vMerge w:val="restart"/>
          </w:tcPr>
          <w:p w:rsidR="005D12D7" w:rsidRDefault="005D12D7" w:rsidP="00CF4FB1">
            <w:pPr>
              <w:rPr>
                <w:rFonts w:ascii="Verdana" w:hAnsi="Verdana" w:cs="Arial"/>
                <w:b/>
                <w:sz w:val="18"/>
                <w:szCs w:val="18"/>
              </w:rPr>
            </w:pPr>
            <w:proofErr w:type="spellStart"/>
            <w:r>
              <w:rPr>
                <w:rFonts w:ascii="Verdana" w:hAnsi="Verdana" w:cs="Arial"/>
                <w:b/>
                <w:sz w:val="18"/>
                <w:szCs w:val="18"/>
              </w:rPr>
              <w:t>Ταχ</w:t>
            </w:r>
            <w:proofErr w:type="spellEnd"/>
            <w:r>
              <w:rPr>
                <w:rFonts w:ascii="Verdana" w:hAnsi="Verdana" w:cs="Arial"/>
                <w:b/>
                <w:sz w:val="18"/>
                <w:szCs w:val="18"/>
              </w:rPr>
              <w:t>. Δ/νση</w:t>
            </w:r>
          </w:p>
        </w:tc>
        <w:tc>
          <w:tcPr>
            <w:tcW w:w="312" w:type="dxa"/>
            <w:vMerge w:val="restart"/>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vMerge w:val="restart"/>
          </w:tcPr>
          <w:p w:rsidR="005D12D7" w:rsidRDefault="005D12D7" w:rsidP="00CF4FB1">
            <w:pPr>
              <w:jc w:val="both"/>
              <w:rPr>
                <w:rFonts w:ascii="Verdana" w:hAnsi="Verdana" w:cs="Arial"/>
                <w:sz w:val="18"/>
                <w:szCs w:val="18"/>
              </w:rPr>
            </w:pPr>
            <w:r>
              <w:rPr>
                <w:rFonts w:ascii="Verdana" w:hAnsi="Verdana" w:cs="Arial"/>
                <w:sz w:val="18"/>
                <w:szCs w:val="18"/>
              </w:rPr>
              <w:t>Διοικητήριο</w:t>
            </w:r>
            <w:r w:rsidR="00CF4FB1">
              <w:rPr>
                <w:rFonts w:ascii="Verdana" w:hAnsi="Verdana" w:cs="Arial"/>
                <w:sz w:val="18"/>
                <w:szCs w:val="18"/>
              </w:rPr>
              <w:t xml:space="preserve"> </w:t>
            </w:r>
            <w:r>
              <w:rPr>
                <w:rFonts w:ascii="Verdana" w:hAnsi="Verdana" w:cs="Arial"/>
                <w:sz w:val="18"/>
                <w:szCs w:val="18"/>
              </w:rPr>
              <w:t>ΖΕΠ</w:t>
            </w:r>
          </w:p>
        </w:tc>
        <w:tc>
          <w:tcPr>
            <w:tcW w:w="5592" w:type="dxa"/>
            <w:vMerge w:val="restart"/>
          </w:tcPr>
          <w:p w:rsidR="005D12D7" w:rsidRPr="00CF4FB1" w:rsidRDefault="005D12D7" w:rsidP="00CD0937">
            <w:pPr>
              <w:spacing w:line="360" w:lineRule="auto"/>
              <w:jc w:val="right"/>
              <w:rPr>
                <w:rFonts w:ascii="Verdana" w:hAnsi="Verdana" w:cs="Arial"/>
                <w:sz w:val="18"/>
                <w:szCs w:val="18"/>
              </w:rPr>
            </w:pPr>
            <w:r>
              <w:rPr>
                <w:rFonts w:ascii="Verdana" w:hAnsi="Verdana" w:cs="Arial"/>
                <w:b/>
                <w:sz w:val="18"/>
                <w:szCs w:val="18"/>
              </w:rPr>
              <w:t>Κοζάνη</w:t>
            </w:r>
            <w:r>
              <w:rPr>
                <w:rFonts w:ascii="Verdana" w:hAnsi="Verdana" w:cs="Arial"/>
                <w:b/>
                <w:sz w:val="18"/>
                <w:szCs w:val="18"/>
                <w:lang w:val="en-US"/>
              </w:rPr>
              <w:t>,</w:t>
            </w:r>
            <w:r>
              <w:rPr>
                <w:rFonts w:ascii="Verdana" w:hAnsi="Verdana" w:cs="Arial"/>
                <w:b/>
                <w:sz w:val="18"/>
                <w:szCs w:val="18"/>
              </w:rPr>
              <w:t xml:space="preserve"> </w:t>
            </w:r>
            <w:r w:rsidR="00CD0937">
              <w:rPr>
                <w:rFonts w:ascii="Verdana" w:hAnsi="Verdana" w:cs="Arial"/>
                <w:b/>
                <w:sz w:val="18"/>
                <w:szCs w:val="18"/>
              </w:rPr>
              <w:t>03</w:t>
            </w:r>
            <w:r>
              <w:rPr>
                <w:rFonts w:ascii="Verdana" w:hAnsi="Verdana" w:cs="Arial"/>
                <w:b/>
                <w:sz w:val="18"/>
                <w:szCs w:val="18"/>
                <w:lang w:val="en-US"/>
              </w:rPr>
              <w:t>-</w:t>
            </w:r>
            <w:r w:rsidR="00DF6C19">
              <w:rPr>
                <w:rFonts w:ascii="Verdana" w:hAnsi="Verdana" w:cs="Arial"/>
                <w:b/>
                <w:sz w:val="18"/>
                <w:szCs w:val="18"/>
              </w:rPr>
              <w:t>0</w:t>
            </w:r>
            <w:r w:rsidR="00CD0937">
              <w:rPr>
                <w:rFonts w:ascii="Verdana" w:hAnsi="Verdana" w:cs="Arial"/>
                <w:b/>
                <w:sz w:val="18"/>
                <w:szCs w:val="18"/>
              </w:rPr>
              <w:t>5</w:t>
            </w:r>
            <w:r>
              <w:rPr>
                <w:rFonts w:ascii="Verdana" w:hAnsi="Verdana" w:cs="Arial"/>
                <w:b/>
                <w:sz w:val="18"/>
                <w:szCs w:val="18"/>
              </w:rPr>
              <w:t>-20</w:t>
            </w:r>
            <w:r w:rsidR="0083017F">
              <w:rPr>
                <w:rFonts w:ascii="Verdana" w:hAnsi="Verdana" w:cs="Arial"/>
                <w:b/>
                <w:sz w:val="18"/>
                <w:szCs w:val="18"/>
              </w:rPr>
              <w:t>2</w:t>
            </w:r>
            <w:r w:rsidR="00D77C98">
              <w:rPr>
                <w:rFonts w:ascii="Verdana" w:hAnsi="Verdana" w:cs="Arial"/>
                <w:b/>
                <w:sz w:val="18"/>
                <w:szCs w:val="18"/>
              </w:rPr>
              <w:t>2</w:t>
            </w:r>
          </w:p>
        </w:tc>
      </w:tr>
      <w:tr w:rsidR="005D12D7" w:rsidTr="00315938">
        <w:trPr>
          <w:cantSplit/>
          <w:trHeight w:val="219"/>
          <w:jc w:val="center"/>
        </w:trPr>
        <w:tc>
          <w:tcPr>
            <w:tcW w:w="1582" w:type="dxa"/>
            <w:vMerge/>
          </w:tcPr>
          <w:p w:rsidR="005D12D7" w:rsidRDefault="005D12D7" w:rsidP="00CF4FB1">
            <w:pPr>
              <w:rPr>
                <w:rFonts w:ascii="Verdana" w:hAnsi="Verdana" w:cs="Arial"/>
                <w:b/>
                <w:sz w:val="18"/>
                <w:szCs w:val="18"/>
              </w:rPr>
            </w:pPr>
          </w:p>
        </w:tc>
        <w:tc>
          <w:tcPr>
            <w:tcW w:w="312" w:type="dxa"/>
            <w:vMerge/>
          </w:tcPr>
          <w:p w:rsidR="005D12D7" w:rsidRDefault="005D12D7">
            <w:pPr>
              <w:jc w:val="both"/>
              <w:rPr>
                <w:rFonts w:ascii="Verdana" w:hAnsi="Verdana" w:cs="Arial"/>
                <w:b/>
                <w:sz w:val="18"/>
                <w:szCs w:val="18"/>
              </w:rPr>
            </w:pPr>
          </w:p>
        </w:tc>
        <w:tc>
          <w:tcPr>
            <w:tcW w:w="2579" w:type="dxa"/>
            <w:vMerge/>
          </w:tcPr>
          <w:p w:rsidR="005D12D7" w:rsidRDefault="005D12D7">
            <w:pPr>
              <w:jc w:val="both"/>
              <w:rPr>
                <w:rFonts w:ascii="Verdana" w:hAnsi="Verdana" w:cs="Arial"/>
                <w:sz w:val="18"/>
                <w:szCs w:val="18"/>
              </w:rPr>
            </w:pPr>
          </w:p>
        </w:tc>
        <w:tc>
          <w:tcPr>
            <w:tcW w:w="5592" w:type="dxa"/>
            <w:vMerge/>
          </w:tcPr>
          <w:p w:rsidR="005D12D7" w:rsidRDefault="005D12D7">
            <w:pPr>
              <w:jc w:val="both"/>
              <w:rPr>
                <w:rFonts w:ascii="Verdana" w:hAnsi="Verdana" w:cs="Arial"/>
                <w:sz w:val="18"/>
                <w:szCs w:val="18"/>
              </w:rPr>
            </w:pPr>
          </w:p>
        </w:tc>
      </w:tr>
      <w:tr w:rsidR="005D12D7" w:rsidTr="00315938">
        <w:trPr>
          <w:cantSplit/>
          <w:jc w:val="center"/>
        </w:trPr>
        <w:tc>
          <w:tcPr>
            <w:tcW w:w="1582" w:type="dxa"/>
          </w:tcPr>
          <w:p w:rsidR="005D12D7" w:rsidRDefault="005D12D7" w:rsidP="00CF4FB1">
            <w:pPr>
              <w:rPr>
                <w:rFonts w:ascii="Verdana" w:hAnsi="Verdana" w:cs="Arial"/>
                <w:b/>
                <w:sz w:val="18"/>
                <w:szCs w:val="18"/>
              </w:rPr>
            </w:pPr>
            <w:r>
              <w:rPr>
                <w:rFonts w:ascii="Verdana" w:hAnsi="Verdana" w:cs="Arial"/>
                <w:b/>
                <w:sz w:val="18"/>
                <w:szCs w:val="18"/>
              </w:rPr>
              <w:t>Τηλέφωνο</w:t>
            </w:r>
          </w:p>
        </w:tc>
        <w:tc>
          <w:tcPr>
            <w:tcW w:w="312" w:type="dxa"/>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tcPr>
          <w:p w:rsidR="005D12D7" w:rsidRDefault="005D12D7">
            <w:pPr>
              <w:jc w:val="both"/>
              <w:rPr>
                <w:rFonts w:ascii="Verdana" w:hAnsi="Verdana" w:cs="Arial"/>
                <w:sz w:val="18"/>
                <w:szCs w:val="18"/>
              </w:rPr>
            </w:pPr>
            <w:r>
              <w:rPr>
                <w:rFonts w:ascii="Verdana" w:hAnsi="Verdana" w:cs="Arial"/>
                <w:sz w:val="18"/>
                <w:szCs w:val="18"/>
              </w:rPr>
              <w:t>2461</w:t>
            </w:r>
            <w:r>
              <w:rPr>
                <w:rFonts w:ascii="Verdana" w:hAnsi="Verdana" w:cs="Arial"/>
                <w:sz w:val="18"/>
                <w:szCs w:val="18"/>
                <w:lang w:val="en-US"/>
              </w:rPr>
              <w:t>052650</w:t>
            </w:r>
            <w:r>
              <w:rPr>
                <w:rFonts w:ascii="Verdana" w:hAnsi="Verdana" w:cs="Arial"/>
                <w:sz w:val="18"/>
                <w:szCs w:val="18"/>
              </w:rPr>
              <w:t xml:space="preserve">  </w:t>
            </w:r>
            <w:r>
              <w:rPr>
                <w:rFonts w:ascii="Verdana" w:hAnsi="Verdana" w:cs="Arial"/>
                <w:sz w:val="18"/>
                <w:szCs w:val="18"/>
                <w:lang w:val="en-US"/>
              </w:rPr>
              <w:t>2461052652</w:t>
            </w:r>
          </w:p>
        </w:tc>
        <w:tc>
          <w:tcPr>
            <w:tcW w:w="5592" w:type="dxa"/>
            <w:vMerge w:val="restart"/>
          </w:tcPr>
          <w:p w:rsidR="005D12D7" w:rsidRDefault="005D12D7">
            <w:pPr>
              <w:jc w:val="both"/>
              <w:rPr>
                <w:rFonts w:ascii="Verdana" w:hAnsi="Verdana" w:cs="Arial"/>
                <w:b/>
                <w:sz w:val="18"/>
                <w:szCs w:val="18"/>
              </w:rPr>
            </w:pPr>
            <w:r>
              <w:rPr>
                <w:rFonts w:ascii="Verdana" w:hAnsi="Verdana" w:cs="Arial"/>
                <w:b/>
                <w:sz w:val="18"/>
                <w:szCs w:val="18"/>
              </w:rPr>
              <w:t xml:space="preserve">                                 </w:t>
            </w:r>
          </w:p>
          <w:p w:rsidR="005D12D7" w:rsidRDefault="005D12D7">
            <w:pPr>
              <w:ind w:firstLine="387"/>
              <w:jc w:val="right"/>
              <w:rPr>
                <w:rFonts w:ascii="Verdana" w:hAnsi="Verdana" w:cs="Arial"/>
                <w:sz w:val="18"/>
                <w:szCs w:val="18"/>
              </w:rPr>
            </w:pPr>
            <w:r>
              <w:rPr>
                <w:rFonts w:ascii="Verdana" w:hAnsi="Verdana" w:cs="Arial"/>
                <w:b/>
                <w:sz w:val="18"/>
                <w:szCs w:val="18"/>
              </w:rPr>
              <w:t xml:space="preserve">  Προς: ΜΜΕ</w:t>
            </w:r>
          </w:p>
        </w:tc>
      </w:tr>
      <w:tr w:rsidR="005D12D7" w:rsidTr="00315938">
        <w:trPr>
          <w:cantSplit/>
          <w:jc w:val="center"/>
        </w:trPr>
        <w:tc>
          <w:tcPr>
            <w:tcW w:w="1582" w:type="dxa"/>
          </w:tcPr>
          <w:p w:rsidR="005D12D7" w:rsidRDefault="005D12D7" w:rsidP="00CF4FB1">
            <w:pPr>
              <w:rPr>
                <w:rFonts w:ascii="Verdana" w:hAnsi="Verdana" w:cs="Arial"/>
                <w:b/>
                <w:sz w:val="18"/>
                <w:szCs w:val="18"/>
              </w:rPr>
            </w:pPr>
            <w:r>
              <w:rPr>
                <w:rFonts w:ascii="Verdana" w:hAnsi="Verdana" w:cs="Arial"/>
                <w:b/>
                <w:sz w:val="18"/>
                <w:szCs w:val="18"/>
              </w:rPr>
              <w:t>Φαξ</w:t>
            </w:r>
          </w:p>
        </w:tc>
        <w:tc>
          <w:tcPr>
            <w:tcW w:w="312" w:type="dxa"/>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tcPr>
          <w:p w:rsidR="005D12D7" w:rsidRDefault="005D12D7">
            <w:pPr>
              <w:jc w:val="both"/>
              <w:rPr>
                <w:rFonts w:ascii="Verdana" w:hAnsi="Verdana" w:cs="Arial"/>
                <w:sz w:val="18"/>
                <w:szCs w:val="18"/>
                <w:lang w:val="en-US"/>
              </w:rPr>
            </w:pPr>
            <w:r>
              <w:rPr>
                <w:rFonts w:ascii="Verdana" w:hAnsi="Verdana" w:cs="Arial"/>
                <w:sz w:val="18"/>
                <w:szCs w:val="18"/>
              </w:rPr>
              <w:t xml:space="preserve">24610 </w:t>
            </w:r>
            <w:r>
              <w:rPr>
                <w:rFonts w:ascii="Verdana" w:hAnsi="Verdana" w:cs="Arial"/>
                <w:sz w:val="18"/>
                <w:szCs w:val="18"/>
                <w:lang w:val="en-US"/>
              </w:rPr>
              <w:t>52650</w:t>
            </w:r>
          </w:p>
        </w:tc>
        <w:tc>
          <w:tcPr>
            <w:tcW w:w="5592" w:type="dxa"/>
            <w:vMerge/>
          </w:tcPr>
          <w:p w:rsidR="005D12D7" w:rsidRDefault="005D12D7">
            <w:pPr>
              <w:jc w:val="both"/>
              <w:rPr>
                <w:rFonts w:ascii="Verdana" w:hAnsi="Verdana" w:cs="Arial"/>
                <w:b/>
                <w:sz w:val="18"/>
                <w:szCs w:val="18"/>
              </w:rPr>
            </w:pPr>
          </w:p>
        </w:tc>
      </w:tr>
      <w:tr w:rsidR="005D12D7" w:rsidTr="00315938">
        <w:trPr>
          <w:cantSplit/>
          <w:jc w:val="center"/>
        </w:trPr>
        <w:tc>
          <w:tcPr>
            <w:tcW w:w="1582" w:type="dxa"/>
          </w:tcPr>
          <w:p w:rsidR="005D12D7" w:rsidRDefault="005D12D7" w:rsidP="00CF4FB1">
            <w:pPr>
              <w:rPr>
                <w:rFonts w:ascii="Verdana" w:hAnsi="Verdana" w:cs="Arial"/>
                <w:b/>
                <w:sz w:val="18"/>
                <w:szCs w:val="18"/>
              </w:rPr>
            </w:pPr>
            <w:r>
              <w:rPr>
                <w:rFonts w:ascii="Verdana" w:hAnsi="Verdana" w:cs="Arial"/>
                <w:b/>
                <w:sz w:val="18"/>
                <w:szCs w:val="18"/>
                <w:lang w:val="en-US"/>
              </w:rPr>
              <w:t>e</w:t>
            </w:r>
            <w:r>
              <w:rPr>
                <w:rFonts w:ascii="Verdana" w:hAnsi="Verdana" w:cs="Arial"/>
                <w:b/>
                <w:sz w:val="18"/>
                <w:szCs w:val="18"/>
              </w:rPr>
              <w:t>-</w:t>
            </w:r>
            <w:r>
              <w:rPr>
                <w:rFonts w:ascii="Verdana" w:hAnsi="Verdana" w:cs="Arial"/>
                <w:b/>
                <w:sz w:val="18"/>
                <w:szCs w:val="18"/>
                <w:lang w:val="en-US"/>
              </w:rPr>
              <w:t>mail</w:t>
            </w:r>
          </w:p>
        </w:tc>
        <w:tc>
          <w:tcPr>
            <w:tcW w:w="312" w:type="dxa"/>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tcPr>
          <w:p w:rsidR="005D12D7" w:rsidRDefault="006B241C">
            <w:pPr>
              <w:jc w:val="both"/>
              <w:rPr>
                <w:rFonts w:ascii="Verdana" w:hAnsi="Verdana" w:cs="Arial"/>
                <w:sz w:val="18"/>
                <w:szCs w:val="18"/>
              </w:rPr>
            </w:pPr>
            <w:hyperlink r:id="rId7" w:history="1">
              <w:r w:rsidR="005D12D7">
                <w:rPr>
                  <w:rStyle w:val="-"/>
                  <w:rFonts w:ascii="Verdana" w:hAnsi="Verdana" w:cs="Arial"/>
                  <w:sz w:val="18"/>
                  <w:szCs w:val="18"/>
                  <w:lang w:val="en-US"/>
                </w:rPr>
                <w:t>press</w:t>
              </w:r>
              <w:r w:rsidR="005D12D7">
                <w:rPr>
                  <w:rStyle w:val="-"/>
                  <w:rFonts w:ascii="Verdana" w:hAnsi="Verdana" w:cs="Arial"/>
                  <w:sz w:val="18"/>
                  <w:szCs w:val="18"/>
                </w:rPr>
                <w:t>@</w:t>
              </w:r>
              <w:r w:rsidR="005D12D7">
                <w:rPr>
                  <w:rStyle w:val="-"/>
                  <w:rFonts w:ascii="Verdana" w:hAnsi="Verdana" w:cs="Arial"/>
                  <w:sz w:val="18"/>
                  <w:szCs w:val="18"/>
                  <w:lang w:val="en-US"/>
                </w:rPr>
                <w:t>pdm</w:t>
              </w:r>
              <w:r w:rsidR="005D12D7">
                <w:rPr>
                  <w:rStyle w:val="-"/>
                  <w:rFonts w:ascii="Verdana" w:hAnsi="Verdana" w:cs="Arial"/>
                  <w:sz w:val="18"/>
                  <w:szCs w:val="18"/>
                </w:rPr>
                <w:t>.</w:t>
              </w:r>
              <w:r w:rsidR="005D12D7">
                <w:rPr>
                  <w:rStyle w:val="-"/>
                  <w:rFonts w:ascii="Verdana" w:hAnsi="Verdana" w:cs="Arial"/>
                  <w:sz w:val="18"/>
                  <w:szCs w:val="18"/>
                  <w:lang w:val="en-US"/>
                </w:rPr>
                <w:t>gov</w:t>
              </w:r>
              <w:r w:rsidR="005D12D7">
                <w:rPr>
                  <w:rStyle w:val="-"/>
                  <w:rFonts w:ascii="Verdana" w:hAnsi="Verdana" w:cs="Arial"/>
                  <w:sz w:val="18"/>
                  <w:szCs w:val="18"/>
                </w:rPr>
                <w:t>.</w:t>
              </w:r>
              <w:r w:rsidR="005D12D7">
                <w:rPr>
                  <w:rStyle w:val="-"/>
                  <w:rFonts w:ascii="Verdana" w:hAnsi="Verdana" w:cs="Arial"/>
                  <w:sz w:val="18"/>
                  <w:szCs w:val="18"/>
                  <w:lang w:val="en-US"/>
                </w:rPr>
                <w:t>gr</w:t>
              </w:r>
              <w:r w:rsidR="005D12D7">
                <w:rPr>
                  <w:rStyle w:val="-"/>
                  <w:rFonts w:ascii="Verdana" w:hAnsi="Verdana" w:cs="Arial"/>
                  <w:sz w:val="18"/>
                  <w:szCs w:val="18"/>
                </w:rPr>
                <w:t>,</w:t>
              </w:r>
            </w:hyperlink>
            <w:r w:rsidR="005D12D7">
              <w:rPr>
                <w:rFonts w:ascii="Verdana" w:hAnsi="Verdana" w:cs="Arial"/>
                <w:sz w:val="18"/>
                <w:szCs w:val="18"/>
              </w:rPr>
              <w:t xml:space="preserve"> </w:t>
            </w:r>
            <w:hyperlink r:id="rId8" w:history="1">
              <w:r w:rsidR="005D12D7">
                <w:rPr>
                  <w:rStyle w:val="-"/>
                  <w:rFonts w:ascii="Verdana" w:hAnsi="Verdana" w:cs="Arial"/>
                  <w:sz w:val="18"/>
                  <w:szCs w:val="18"/>
                  <w:lang w:val="en-US"/>
                </w:rPr>
                <w:t>pr</w:t>
              </w:r>
              <w:r w:rsidR="005D12D7">
                <w:rPr>
                  <w:rStyle w:val="-"/>
                  <w:rFonts w:ascii="Verdana" w:hAnsi="Verdana" w:cs="Arial"/>
                  <w:sz w:val="18"/>
                  <w:szCs w:val="18"/>
                </w:rPr>
                <w:t>@</w:t>
              </w:r>
              <w:r w:rsidR="005D12D7">
                <w:rPr>
                  <w:rStyle w:val="-"/>
                  <w:rFonts w:ascii="Verdana" w:hAnsi="Verdana" w:cs="Arial"/>
                  <w:sz w:val="18"/>
                  <w:szCs w:val="18"/>
                  <w:lang w:val="en-US"/>
                </w:rPr>
                <w:t>pdm</w:t>
              </w:r>
              <w:r w:rsidR="005D12D7">
                <w:rPr>
                  <w:rStyle w:val="-"/>
                  <w:rFonts w:ascii="Verdana" w:hAnsi="Verdana" w:cs="Arial"/>
                  <w:sz w:val="18"/>
                  <w:szCs w:val="18"/>
                </w:rPr>
                <w:t>.</w:t>
              </w:r>
              <w:r w:rsidR="005D12D7">
                <w:rPr>
                  <w:rStyle w:val="-"/>
                  <w:rFonts w:ascii="Verdana" w:hAnsi="Verdana" w:cs="Arial"/>
                  <w:sz w:val="18"/>
                  <w:szCs w:val="18"/>
                  <w:lang w:val="en-US"/>
                </w:rPr>
                <w:t>gov</w:t>
              </w:r>
              <w:r w:rsidR="005D12D7">
                <w:rPr>
                  <w:rStyle w:val="-"/>
                  <w:rFonts w:ascii="Verdana" w:hAnsi="Verdana" w:cs="Arial"/>
                  <w:sz w:val="18"/>
                  <w:szCs w:val="18"/>
                </w:rPr>
                <w:t>.</w:t>
              </w:r>
              <w:r w:rsidR="005D12D7">
                <w:rPr>
                  <w:rStyle w:val="-"/>
                  <w:rFonts w:ascii="Verdana" w:hAnsi="Verdana" w:cs="Arial"/>
                  <w:sz w:val="18"/>
                  <w:szCs w:val="18"/>
                  <w:lang w:val="en-US"/>
                </w:rPr>
                <w:t>gr</w:t>
              </w:r>
            </w:hyperlink>
          </w:p>
          <w:p w:rsidR="005D12D7" w:rsidRDefault="005D12D7">
            <w:pPr>
              <w:jc w:val="both"/>
              <w:rPr>
                <w:rFonts w:ascii="Verdana" w:hAnsi="Verdana" w:cs="Arial"/>
                <w:sz w:val="8"/>
                <w:szCs w:val="8"/>
              </w:rPr>
            </w:pPr>
          </w:p>
        </w:tc>
        <w:tc>
          <w:tcPr>
            <w:tcW w:w="5592" w:type="dxa"/>
          </w:tcPr>
          <w:p w:rsidR="005D12D7" w:rsidRDefault="005D12D7">
            <w:pPr>
              <w:jc w:val="both"/>
              <w:rPr>
                <w:rFonts w:ascii="Verdana" w:hAnsi="Verdana" w:cs="Arial"/>
                <w:sz w:val="18"/>
                <w:szCs w:val="18"/>
              </w:rPr>
            </w:pPr>
          </w:p>
        </w:tc>
      </w:tr>
    </w:tbl>
    <w:p w:rsidR="00AB64B6" w:rsidRDefault="00AB64B6">
      <w:pPr>
        <w:spacing w:line="360" w:lineRule="auto"/>
        <w:jc w:val="center"/>
        <w:rPr>
          <w:rFonts w:ascii="Verdana" w:hAnsi="Verdana" w:cs="Arial"/>
          <w:b/>
          <w:sz w:val="24"/>
          <w:szCs w:val="24"/>
          <w:u w:val="single"/>
        </w:rPr>
      </w:pPr>
    </w:p>
    <w:p w:rsidR="00892534" w:rsidRDefault="00892534">
      <w:pPr>
        <w:spacing w:line="360" w:lineRule="auto"/>
        <w:jc w:val="center"/>
        <w:rPr>
          <w:rFonts w:ascii="Verdana" w:hAnsi="Verdana" w:cs="Arial"/>
          <w:b/>
          <w:sz w:val="24"/>
          <w:szCs w:val="24"/>
          <w:u w:val="single"/>
        </w:rPr>
      </w:pPr>
      <w:r w:rsidRPr="00892534">
        <w:rPr>
          <w:rFonts w:ascii="Verdana" w:hAnsi="Verdana" w:cs="Arial"/>
          <w:b/>
          <w:noProof/>
          <w:sz w:val="24"/>
          <w:szCs w:val="24"/>
          <w:u w:val="single"/>
        </w:rPr>
        <w:drawing>
          <wp:inline distT="0" distB="0" distL="0" distR="0">
            <wp:extent cx="6570980" cy="2419162"/>
            <wp:effectExtent l="0" t="0" r="1270" b="635"/>
            <wp:docPr id="2" name="Εικόνα 2" descr="C:\Backup\BACKUP_Αρχεία ΕΔΑ\1_WORK\0_2014-2020\7_I&amp;C\3. EU In My Region\2021-2022_ICT Schools\Logos etc\DG-REGIO logos et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BACKUP_Αρχεία ΕΔΑ\1_WORK\0_2014-2020\7_I&amp;C\3. EU In My Region\2021-2022_ICT Schools\Logos etc\DG-REGIO logos etc\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2419162"/>
                    </a:xfrm>
                    <a:prstGeom prst="rect">
                      <a:avLst/>
                    </a:prstGeom>
                    <a:noFill/>
                    <a:ln>
                      <a:noFill/>
                    </a:ln>
                  </pic:spPr>
                </pic:pic>
              </a:graphicData>
            </a:graphic>
          </wp:inline>
        </w:drawing>
      </w:r>
    </w:p>
    <w:p w:rsidR="00892534" w:rsidRDefault="00892534">
      <w:pPr>
        <w:spacing w:line="360" w:lineRule="auto"/>
        <w:jc w:val="center"/>
        <w:rPr>
          <w:rFonts w:ascii="Verdana" w:hAnsi="Verdana" w:cs="Arial"/>
          <w:b/>
          <w:sz w:val="24"/>
          <w:szCs w:val="24"/>
          <w:u w:val="single"/>
        </w:rPr>
      </w:pPr>
    </w:p>
    <w:p w:rsidR="005D12D7" w:rsidRDefault="005D12D7">
      <w:pPr>
        <w:spacing w:line="360" w:lineRule="auto"/>
        <w:jc w:val="center"/>
        <w:rPr>
          <w:rFonts w:ascii="Verdana" w:hAnsi="Verdana" w:cs="Arial"/>
          <w:b/>
          <w:sz w:val="24"/>
          <w:szCs w:val="24"/>
          <w:u w:val="single"/>
        </w:rPr>
      </w:pPr>
      <w:r>
        <w:rPr>
          <w:rFonts w:ascii="Verdana" w:hAnsi="Verdana" w:cs="Arial"/>
          <w:b/>
          <w:sz w:val="24"/>
          <w:szCs w:val="24"/>
          <w:u w:val="single"/>
        </w:rPr>
        <w:t>ΔΕΛΤΙΟ ΤΥΠΟΥ</w:t>
      </w:r>
    </w:p>
    <w:p w:rsidR="009A3FA4" w:rsidRDefault="00892534" w:rsidP="009A3FA4">
      <w:pPr>
        <w:pBdr>
          <w:right w:val="single" w:sz="12" w:space="12" w:color="C8CDD1"/>
        </w:pBdr>
        <w:spacing w:line="276" w:lineRule="auto"/>
        <w:jc w:val="center"/>
        <w:rPr>
          <w:rFonts w:asciiTheme="minorHAnsi" w:eastAsia="Times New Roman" w:hAnsiTheme="minorHAnsi" w:cstheme="minorHAnsi"/>
          <w:b/>
          <w:color w:val="17365D"/>
          <w:sz w:val="28"/>
          <w:szCs w:val="32"/>
        </w:rPr>
      </w:pPr>
      <w:r>
        <w:rPr>
          <w:rFonts w:asciiTheme="minorHAnsi" w:eastAsia="Times New Roman" w:hAnsiTheme="minorHAnsi" w:cstheme="minorHAnsi"/>
          <w:b/>
          <w:color w:val="17365D"/>
          <w:sz w:val="28"/>
          <w:szCs w:val="32"/>
        </w:rPr>
        <w:t xml:space="preserve">Λήξη Φάσης </w:t>
      </w:r>
      <w:r w:rsidR="00CD0937">
        <w:rPr>
          <w:rFonts w:asciiTheme="minorHAnsi" w:eastAsia="Times New Roman" w:hAnsiTheme="minorHAnsi" w:cstheme="minorHAnsi"/>
          <w:b/>
          <w:color w:val="17365D"/>
          <w:sz w:val="28"/>
          <w:szCs w:val="32"/>
        </w:rPr>
        <w:t>Α’</w:t>
      </w:r>
      <w:r w:rsidR="009A3FA4" w:rsidRPr="009A3FA4">
        <w:rPr>
          <w:rFonts w:asciiTheme="minorHAnsi" w:eastAsia="Times New Roman" w:hAnsiTheme="minorHAnsi" w:cstheme="minorHAnsi"/>
          <w:b/>
          <w:color w:val="17365D"/>
          <w:sz w:val="28"/>
          <w:szCs w:val="32"/>
        </w:rPr>
        <w:t xml:space="preserve"> </w:t>
      </w:r>
      <w:r>
        <w:rPr>
          <w:rFonts w:asciiTheme="minorHAnsi" w:eastAsia="Times New Roman" w:hAnsiTheme="minorHAnsi" w:cstheme="minorHAnsi"/>
          <w:b/>
          <w:color w:val="17365D"/>
          <w:sz w:val="28"/>
          <w:szCs w:val="32"/>
        </w:rPr>
        <w:t xml:space="preserve">του </w:t>
      </w:r>
      <w:r w:rsidR="009A3FA4" w:rsidRPr="009A3FA4">
        <w:rPr>
          <w:rFonts w:asciiTheme="minorHAnsi" w:eastAsia="Times New Roman" w:hAnsiTheme="minorHAnsi" w:cstheme="minorHAnsi"/>
          <w:b/>
          <w:color w:val="17365D"/>
          <w:sz w:val="28"/>
          <w:szCs w:val="32"/>
        </w:rPr>
        <w:t>Μαθητικού Διαγωνισμού “Τεχ</w:t>
      </w:r>
      <w:r>
        <w:rPr>
          <w:rFonts w:asciiTheme="minorHAnsi" w:eastAsia="Times New Roman" w:hAnsiTheme="minorHAnsi" w:cstheme="minorHAnsi"/>
          <w:b/>
          <w:color w:val="17365D"/>
          <w:sz w:val="28"/>
          <w:szCs w:val="32"/>
        </w:rPr>
        <w:t>νητή Νοημοσύνη στην Εκπαίδευση”</w:t>
      </w:r>
      <w:r w:rsidR="001C72DF">
        <w:rPr>
          <w:rFonts w:asciiTheme="minorHAnsi" w:eastAsia="Times New Roman" w:hAnsiTheme="minorHAnsi" w:cstheme="minorHAnsi"/>
          <w:b/>
          <w:color w:val="17365D"/>
          <w:sz w:val="28"/>
          <w:szCs w:val="32"/>
        </w:rPr>
        <w:t>.</w:t>
      </w:r>
    </w:p>
    <w:p w:rsidR="001C72DF" w:rsidRDefault="001C72DF" w:rsidP="009A3FA4">
      <w:pPr>
        <w:pBdr>
          <w:right w:val="single" w:sz="12" w:space="12" w:color="C8CDD1"/>
        </w:pBdr>
        <w:spacing w:line="276" w:lineRule="auto"/>
        <w:jc w:val="center"/>
        <w:rPr>
          <w:rFonts w:asciiTheme="minorHAnsi" w:eastAsia="Times New Roman" w:hAnsiTheme="minorHAnsi" w:cstheme="minorHAnsi"/>
          <w:b/>
          <w:color w:val="17365D"/>
          <w:sz w:val="28"/>
          <w:szCs w:val="32"/>
        </w:rPr>
      </w:pPr>
      <w:r>
        <w:rPr>
          <w:rFonts w:asciiTheme="minorHAnsi" w:eastAsia="Times New Roman" w:hAnsiTheme="minorHAnsi" w:cstheme="minorHAnsi"/>
          <w:b/>
          <w:color w:val="17365D"/>
          <w:sz w:val="28"/>
          <w:szCs w:val="32"/>
        </w:rPr>
        <w:t xml:space="preserve">Παρουσίαση των έργων των μαθητών και τελετή βράβευσης των νικητών, </w:t>
      </w:r>
    </w:p>
    <w:p w:rsidR="001C72DF" w:rsidRPr="009A3FA4" w:rsidRDefault="001C72DF" w:rsidP="009A3FA4">
      <w:pPr>
        <w:pBdr>
          <w:right w:val="single" w:sz="12" w:space="12" w:color="C8CDD1"/>
        </w:pBdr>
        <w:spacing w:line="276" w:lineRule="auto"/>
        <w:jc w:val="center"/>
        <w:rPr>
          <w:rFonts w:asciiTheme="minorHAnsi" w:eastAsia="Times New Roman" w:hAnsiTheme="minorHAnsi" w:cstheme="minorHAnsi"/>
          <w:b/>
          <w:color w:val="17365D"/>
          <w:sz w:val="28"/>
          <w:szCs w:val="32"/>
        </w:rPr>
      </w:pPr>
      <w:r>
        <w:rPr>
          <w:rFonts w:asciiTheme="minorHAnsi" w:eastAsia="Times New Roman" w:hAnsiTheme="minorHAnsi" w:cstheme="minorHAnsi"/>
          <w:b/>
          <w:color w:val="17365D"/>
          <w:sz w:val="28"/>
          <w:szCs w:val="32"/>
        </w:rPr>
        <w:t xml:space="preserve">στις 15 Μαΐου, στο Δημοτικό Αθλητικό Κέντρο Λευκόβρυσης «Βασίλης </w:t>
      </w:r>
      <w:proofErr w:type="spellStart"/>
      <w:r>
        <w:rPr>
          <w:rFonts w:asciiTheme="minorHAnsi" w:eastAsia="Times New Roman" w:hAnsiTheme="minorHAnsi" w:cstheme="minorHAnsi"/>
          <w:b/>
          <w:color w:val="17365D"/>
          <w:sz w:val="28"/>
          <w:szCs w:val="32"/>
        </w:rPr>
        <w:t>Φλέγκας</w:t>
      </w:r>
      <w:proofErr w:type="spellEnd"/>
      <w:r>
        <w:rPr>
          <w:rFonts w:asciiTheme="minorHAnsi" w:eastAsia="Times New Roman" w:hAnsiTheme="minorHAnsi" w:cstheme="minorHAnsi"/>
          <w:b/>
          <w:color w:val="17365D"/>
          <w:sz w:val="28"/>
          <w:szCs w:val="32"/>
        </w:rPr>
        <w:t>».</w:t>
      </w:r>
    </w:p>
    <w:p w:rsidR="009A3FA4" w:rsidRPr="009A3FA4" w:rsidRDefault="009A3FA4">
      <w:pPr>
        <w:pBdr>
          <w:right w:val="single" w:sz="12" w:space="12" w:color="C8CDD1"/>
        </w:pBdr>
        <w:spacing w:before="100" w:beforeAutospacing="1" w:after="100" w:afterAutospacing="1"/>
        <w:contextualSpacing/>
        <w:jc w:val="both"/>
        <w:rPr>
          <w:rFonts w:asciiTheme="minorHAnsi" w:eastAsia="Calibri" w:hAnsiTheme="minorHAnsi" w:cstheme="minorHAnsi"/>
          <w:bCs/>
          <w:color w:val="1F497D"/>
          <w:sz w:val="24"/>
          <w:szCs w:val="22"/>
          <w:lang w:eastAsia="en-US"/>
        </w:rPr>
      </w:pPr>
    </w:p>
    <w:p w:rsidR="00892534" w:rsidRDefault="0089253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Με μεγάλη συμμετοχή έληξε η Φάση </w:t>
      </w:r>
      <w:r w:rsidR="00CD0937">
        <w:rPr>
          <w:rFonts w:asciiTheme="minorHAnsi" w:hAnsiTheme="minorHAnsi" w:cstheme="minorHAnsi"/>
          <w:bCs/>
          <w:color w:val="000000"/>
          <w:sz w:val="24"/>
        </w:rPr>
        <w:t>Α’</w:t>
      </w:r>
      <w:r>
        <w:rPr>
          <w:rFonts w:asciiTheme="minorHAnsi" w:hAnsiTheme="minorHAnsi" w:cstheme="minorHAnsi"/>
          <w:bCs/>
          <w:color w:val="000000"/>
          <w:sz w:val="24"/>
        </w:rPr>
        <w:t xml:space="preserve"> </w:t>
      </w:r>
      <w:r w:rsidRPr="00892534">
        <w:rPr>
          <w:rFonts w:asciiTheme="minorHAnsi" w:hAnsiTheme="minorHAnsi" w:cstheme="minorHAnsi"/>
          <w:bCs/>
          <w:color w:val="000000"/>
          <w:sz w:val="24"/>
        </w:rPr>
        <w:t>του Μαθητικού Διαγωνισμού “Τεχνητή Νοημοσύνη στην Εκπαίδευση”</w:t>
      </w:r>
      <w:r>
        <w:rPr>
          <w:rFonts w:asciiTheme="minorHAnsi" w:hAnsiTheme="minorHAnsi" w:cstheme="minorHAnsi"/>
          <w:bCs/>
          <w:color w:val="000000"/>
          <w:sz w:val="24"/>
        </w:rPr>
        <w:t>, η οποία αφορούσε στην εκδήλωση ενδιαφέροντος για συμμετοχή στον Διαγωνισμό.</w:t>
      </w:r>
    </w:p>
    <w:p w:rsidR="00892534" w:rsidRDefault="0089253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Συγκεκριμένα, τα στοιχεία συμμετοχής έχουν ως εξής:</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ΣΧΟΛΙΚΩΝ ΜΟΝΑΔΩΝ: 24</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ΟΜΑΔΩΝ: 43</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ΕΚΠΑΙΔΕΥΤΙΚΩΝ: 28</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ΜΑΘΗΤΩΝ: 173</w:t>
      </w:r>
    </w:p>
    <w:p w:rsidR="00C91364" w:rsidRDefault="00C9136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37432A" w:rsidRDefault="0037432A">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Αναλυτικά τα στοιχεία συμμετοχών τής Φάσης </w:t>
      </w:r>
      <w:r w:rsidR="00CD0937">
        <w:rPr>
          <w:rFonts w:asciiTheme="minorHAnsi" w:hAnsiTheme="minorHAnsi" w:cstheme="minorHAnsi"/>
          <w:bCs/>
          <w:color w:val="000000"/>
          <w:sz w:val="24"/>
        </w:rPr>
        <w:t>Α’</w:t>
      </w:r>
      <w:r>
        <w:rPr>
          <w:rFonts w:asciiTheme="minorHAnsi" w:hAnsiTheme="minorHAnsi" w:cstheme="minorHAnsi"/>
          <w:bCs/>
          <w:color w:val="000000"/>
          <w:sz w:val="24"/>
        </w:rPr>
        <w:t xml:space="preserve"> φαίνονται στο σχετικό </w:t>
      </w:r>
      <w:r w:rsidRPr="0037432A">
        <w:rPr>
          <w:rFonts w:asciiTheme="minorHAnsi" w:hAnsiTheme="minorHAnsi" w:cstheme="minorHAnsi"/>
          <w:bCs/>
          <w:color w:val="000000"/>
          <w:sz w:val="24"/>
        </w:rPr>
        <w:t>ενημερωτικό γράφημα</w:t>
      </w:r>
      <w:r w:rsidR="00C91364">
        <w:rPr>
          <w:rFonts w:asciiTheme="minorHAnsi" w:hAnsiTheme="minorHAnsi" w:cstheme="minorHAnsi"/>
          <w:bCs/>
          <w:color w:val="000000"/>
          <w:sz w:val="24"/>
        </w:rPr>
        <w:t>.</w:t>
      </w:r>
    </w:p>
    <w:p w:rsidR="00C91364" w:rsidRDefault="00C9136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8368FE" w:rsidRDefault="001C72DF">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Η παρουσίαση</w:t>
      </w:r>
      <w:r w:rsidRPr="001C72DF">
        <w:rPr>
          <w:rFonts w:asciiTheme="minorHAnsi" w:hAnsiTheme="minorHAnsi" w:cstheme="minorHAnsi"/>
          <w:bCs/>
          <w:color w:val="000000"/>
          <w:sz w:val="24"/>
        </w:rPr>
        <w:t xml:space="preserve"> των έργων </w:t>
      </w:r>
      <w:r w:rsidRPr="001C72DF">
        <w:rPr>
          <w:rFonts w:asciiTheme="minorHAnsi" w:hAnsiTheme="minorHAnsi" w:cstheme="minorHAnsi"/>
          <w:b/>
          <w:bCs/>
          <w:color w:val="000000"/>
          <w:sz w:val="24"/>
        </w:rPr>
        <w:t>όλων των μαθητών που θα συμμετάσχουν</w:t>
      </w:r>
      <w:r>
        <w:rPr>
          <w:rFonts w:asciiTheme="minorHAnsi" w:hAnsiTheme="minorHAnsi" w:cstheme="minorHAnsi"/>
          <w:bCs/>
          <w:color w:val="000000"/>
          <w:sz w:val="24"/>
        </w:rPr>
        <w:t xml:space="preserve"> </w:t>
      </w:r>
      <w:r w:rsidRPr="001C72DF">
        <w:rPr>
          <w:rFonts w:asciiTheme="minorHAnsi" w:hAnsiTheme="minorHAnsi" w:cstheme="minorHAnsi"/>
          <w:bCs/>
          <w:color w:val="000000"/>
          <w:sz w:val="24"/>
        </w:rPr>
        <w:t xml:space="preserve">και </w:t>
      </w:r>
      <w:r>
        <w:rPr>
          <w:rFonts w:asciiTheme="minorHAnsi" w:hAnsiTheme="minorHAnsi" w:cstheme="minorHAnsi"/>
          <w:bCs/>
          <w:color w:val="000000"/>
          <w:sz w:val="24"/>
        </w:rPr>
        <w:t xml:space="preserve">η </w:t>
      </w:r>
      <w:r w:rsidRPr="001C72DF">
        <w:rPr>
          <w:rFonts w:asciiTheme="minorHAnsi" w:hAnsiTheme="minorHAnsi" w:cstheme="minorHAnsi"/>
          <w:b/>
          <w:bCs/>
          <w:color w:val="000000"/>
          <w:sz w:val="24"/>
        </w:rPr>
        <w:t>τελετή βράβευσης των νικητών</w:t>
      </w:r>
      <w:r w:rsidRPr="001C72DF">
        <w:rPr>
          <w:rFonts w:asciiTheme="minorHAnsi" w:hAnsiTheme="minorHAnsi" w:cstheme="minorHAnsi"/>
          <w:bCs/>
          <w:color w:val="000000"/>
          <w:sz w:val="24"/>
        </w:rPr>
        <w:t xml:space="preserve"> τού Διαγωνισμού </w:t>
      </w:r>
      <w:r>
        <w:rPr>
          <w:rFonts w:asciiTheme="minorHAnsi" w:hAnsiTheme="minorHAnsi" w:cstheme="minorHAnsi"/>
          <w:bCs/>
          <w:color w:val="000000"/>
          <w:sz w:val="24"/>
        </w:rPr>
        <w:t xml:space="preserve">θα γίνει </w:t>
      </w:r>
      <w:r w:rsidRPr="001C72DF">
        <w:rPr>
          <w:rFonts w:asciiTheme="minorHAnsi" w:hAnsiTheme="minorHAnsi" w:cstheme="minorHAnsi"/>
          <w:bCs/>
          <w:color w:val="000000"/>
          <w:sz w:val="24"/>
        </w:rPr>
        <w:t xml:space="preserve">στις </w:t>
      </w:r>
      <w:r w:rsidRPr="001C72DF">
        <w:rPr>
          <w:rFonts w:asciiTheme="minorHAnsi" w:hAnsiTheme="minorHAnsi" w:cstheme="minorHAnsi"/>
          <w:b/>
          <w:bCs/>
          <w:color w:val="000000"/>
          <w:sz w:val="24"/>
        </w:rPr>
        <w:t>15 Μαΐου 2022</w:t>
      </w:r>
      <w:r w:rsidRPr="001C72DF">
        <w:rPr>
          <w:rFonts w:asciiTheme="minorHAnsi" w:hAnsiTheme="minorHAnsi" w:cstheme="minorHAnsi"/>
          <w:bCs/>
          <w:color w:val="000000"/>
          <w:sz w:val="24"/>
        </w:rPr>
        <w:t xml:space="preserve">, στο </w:t>
      </w:r>
      <w:r w:rsidRPr="001C72DF">
        <w:rPr>
          <w:rFonts w:asciiTheme="minorHAnsi" w:hAnsiTheme="minorHAnsi" w:cstheme="minorHAnsi"/>
          <w:b/>
          <w:bCs/>
          <w:color w:val="000000"/>
          <w:sz w:val="24"/>
        </w:rPr>
        <w:t xml:space="preserve">Δημοτικό Αθλητικό Κέντρο Λευκόβρυσης «Βασίλης </w:t>
      </w:r>
      <w:proofErr w:type="spellStart"/>
      <w:r w:rsidRPr="001C72DF">
        <w:rPr>
          <w:rFonts w:asciiTheme="minorHAnsi" w:hAnsiTheme="minorHAnsi" w:cstheme="minorHAnsi"/>
          <w:b/>
          <w:bCs/>
          <w:color w:val="000000"/>
          <w:sz w:val="24"/>
        </w:rPr>
        <w:t>Φλέγκας</w:t>
      </w:r>
      <w:proofErr w:type="spellEnd"/>
      <w:r w:rsidRPr="001C72DF">
        <w:rPr>
          <w:rFonts w:asciiTheme="minorHAnsi" w:hAnsiTheme="minorHAnsi" w:cstheme="minorHAnsi"/>
          <w:b/>
          <w:bCs/>
          <w:color w:val="000000"/>
          <w:sz w:val="24"/>
        </w:rPr>
        <w:t>»</w:t>
      </w:r>
      <w:r>
        <w:rPr>
          <w:rFonts w:asciiTheme="minorHAnsi" w:hAnsiTheme="minorHAnsi" w:cstheme="minorHAnsi"/>
          <w:bCs/>
          <w:color w:val="000000"/>
          <w:sz w:val="24"/>
        </w:rPr>
        <w:t>.</w:t>
      </w:r>
      <w:r w:rsidR="008368FE">
        <w:rPr>
          <w:rFonts w:asciiTheme="minorHAnsi" w:hAnsiTheme="minorHAnsi" w:cstheme="minorHAnsi"/>
          <w:bCs/>
          <w:color w:val="000000"/>
          <w:sz w:val="24"/>
        </w:rPr>
        <w:t xml:space="preserve"> Σε όλους τους συμμετέχοντες μαθητές, στους καθηγητές και στα σχολεία τους θα απονεμηθούν βεβαιώσεις συμμετοχής, ενώ στους νικητές σε κάθε κατηγορία (νηπιαγωγεία, δημοτικά, γυμνάσια, λύκεια), στους καθηγητές και στα σχολεία τους θα απονεμηθούν μετάλλια και έπαινοι, αλλά και έπαθλα (</w:t>
      </w:r>
      <w:proofErr w:type="spellStart"/>
      <w:r w:rsidR="008368FE">
        <w:rPr>
          <w:rFonts w:asciiTheme="minorHAnsi" w:hAnsiTheme="minorHAnsi" w:cstheme="minorHAnsi"/>
          <w:bCs/>
          <w:color w:val="000000"/>
          <w:sz w:val="24"/>
        </w:rPr>
        <w:t>κιτ</w:t>
      </w:r>
      <w:proofErr w:type="spellEnd"/>
      <w:r w:rsidR="008368FE">
        <w:rPr>
          <w:rFonts w:asciiTheme="minorHAnsi" w:hAnsiTheme="minorHAnsi" w:cstheme="minorHAnsi"/>
          <w:bCs/>
          <w:color w:val="000000"/>
          <w:sz w:val="24"/>
        </w:rPr>
        <w:t xml:space="preserve"> ρομποτικής, </w:t>
      </w:r>
      <w:r w:rsidR="008368FE">
        <w:rPr>
          <w:rFonts w:asciiTheme="minorHAnsi" w:hAnsiTheme="minorHAnsi" w:cstheme="minorHAnsi"/>
          <w:bCs/>
          <w:color w:val="000000"/>
          <w:sz w:val="24"/>
          <w:lang w:val="en-US"/>
        </w:rPr>
        <w:t>smart</w:t>
      </w:r>
      <w:r w:rsidR="008368FE" w:rsidRPr="008368FE">
        <w:rPr>
          <w:rFonts w:asciiTheme="minorHAnsi" w:hAnsiTheme="minorHAnsi" w:cstheme="minorHAnsi"/>
          <w:bCs/>
          <w:color w:val="000000"/>
          <w:sz w:val="24"/>
        </w:rPr>
        <w:t xml:space="preserve"> </w:t>
      </w:r>
      <w:r w:rsidR="008368FE">
        <w:rPr>
          <w:rFonts w:asciiTheme="minorHAnsi" w:hAnsiTheme="minorHAnsi" w:cstheme="minorHAnsi"/>
          <w:bCs/>
          <w:color w:val="000000"/>
          <w:sz w:val="24"/>
          <w:lang w:val="en-US"/>
        </w:rPr>
        <w:t>watches</w:t>
      </w:r>
      <w:r w:rsidR="008368FE">
        <w:rPr>
          <w:rFonts w:asciiTheme="minorHAnsi" w:hAnsiTheme="minorHAnsi" w:cstheme="minorHAnsi"/>
          <w:bCs/>
          <w:color w:val="000000"/>
          <w:sz w:val="24"/>
        </w:rPr>
        <w:t xml:space="preserve"> </w:t>
      </w:r>
      <w:proofErr w:type="spellStart"/>
      <w:r w:rsidR="008368FE">
        <w:rPr>
          <w:rFonts w:asciiTheme="minorHAnsi" w:hAnsiTheme="minorHAnsi" w:cstheme="minorHAnsi"/>
          <w:bCs/>
          <w:color w:val="000000"/>
          <w:sz w:val="24"/>
        </w:rPr>
        <w:t>κλπ</w:t>
      </w:r>
      <w:proofErr w:type="spellEnd"/>
      <w:r w:rsidR="008368FE">
        <w:rPr>
          <w:rFonts w:asciiTheme="minorHAnsi" w:hAnsiTheme="minorHAnsi" w:cstheme="minorHAnsi"/>
          <w:bCs/>
          <w:color w:val="000000"/>
          <w:sz w:val="24"/>
        </w:rPr>
        <w:t xml:space="preserve">, ανάλογα με τη βαθμίδα εκπαίδευσης). </w:t>
      </w:r>
    </w:p>
    <w:p w:rsidR="008368FE" w:rsidRDefault="008368FE">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892534" w:rsidRDefault="001C72DF">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1C72DF">
        <w:rPr>
          <w:rFonts w:asciiTheme="minorHAnsi" w:hAnsiTheme="minorHAnsi" w:cstheme="minorHAnsi"/>
          <w:b/>
          <w:bCs/>
          <w:color w:val="000000"/>
          <w:sz w:val="24"/>
        </w:rPr>
        <w:t xml:space="preserve">Η εκδήλωση θα </w:t>
      </w:r>
      <w:r>
        <w:rPr>
          <w:rFonts w:asciiTheme="minorHAnsi" w:hAnsiTheme="minorHAnsi" w:cstheme="minorHAnsi"/>
          <w:b/>
          <w:bCs/>
          <w:color w:val="000000"/>
          <w:sz w:val="24"/>
        </w:rPr>
        <w:t>ανοίξει για το κοινό</w:t>
      </w:r>
      <w:r w:rsidRPr="001C72DF">
        <w:rPr>
          <w:rFonts w:asciiTheme="minorHAnsi" w:hAnsiTheme="minorHAnsi" w:cstheme="minorHAnsi"/>
          <w:b/>
          <w:bCs/>
          <w:color w:val="000000"/>
          <w:sz w:val="24"/>
        </w:rPr>
        <w:t xml:space="preserve"> στις 12:00.</w:t>
      </w:r>
    </w:p>
    <w:p w:rsidR="00353178" w:rsidRDefault="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353178" w:rsidRP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Επιπλέον και </w:t>
      </w:r>
      <w:r w:rsidRPr="00353178">
        <w:rPr>
          <w:rFonts w:asciiTheme="minorHAnsi" w:hAnsiTheme="minorHAnsi" w:cstheme="minorHAnsi"/>
          <w:b/>
          <w:bCs/>
          <w:color w:val="000000"/>
          <w:sz w:val="24"/>
        </w:rPr>
        <w:t>στο πλαίσιο της εκστρατείας «Η Ευρώπη στην περιοχή μου»</w:t>
      </w:r>
      <w:r>
        <w:rPr>
          <w:rFonts w:asciiTheme="minorHAnsi" w:hAnsiTheme="minorHAnsi" w:cstheme="minorHAnsi"/>
          <w:bCs/>
          <w:color w:val="000000"/>
          <w:sz w:val="24"/>
        </w:rPr>
        <w:t xml:space="preserve">, η </w:t>
      </w:r>
      <w:r w:rsidRPr="009A3FA4">
        <w:rPr>
          <w:rFonts w:asciiTheme="minorHAnsi" w:hAnsiTheme="minorHAnsi" w:cstheme="minorHAnsi"/>
          <w:b/>
          <w:bCs/>
          <w:color w:val="000000"/>
          <w:sz w:val="24"/>
        </w:rPr>
        <w:t>Γενική Διεύθυνση Περιφερειακής και Αστικής Πολιτικής</w:t>
      </w:r>
      <w:r w:rsidRPr="00353178">
        <w:rPr>
          <w:rFonts w:asciiTheme="minorHAnsi" w:hAnsiTheme="minorHAnsi" w:cstheme="minorHAnsi"/>
          <w:bCs/>
          <w:color w:val="000000"/>
          <w:sz w:val="24"/>
        </w:rPr>
        <w:t xml:space="preserve"> (DG-REGIO) </w:t>
      </w:r>
      <w:r>
        <w:rPr>
          <w:rFonts w:asciiTheme="minorHAnsi" w:hAnsiTheme="minorHAnsi" w:cstheme="minorHAnsi"/>
          <w:bCs/>
          <w:color w:val="000000"/>
          <w:sz w:val="24"/>
        </w:rPr>
        <w:t xml:space="preserve">τής Ευρωπαϊκής Επιτροπής </w:t>
      </w:r>
      <w:r w:rsidRPr="00353178">
        <w:rPr>
          <w:rFonts w:asciiTheme="minorHAnsi" w:hAnsiTheme="minorHAnsi" w:cstheme="minorHAnsi"/>
          <w:bCs/>
          <w:color w:val="000000"/>
          <w:sz w:val="24"/>
        </w:rPr>
        <w:t xml:space="preserve">θα διοργανώσει ένα </w:t>
      </w:r>
      <w:proofErr w:type="spellStart"/>
      <w:r w:rsidRPr="00353178">
        <w:rPr>
          <w:rFonts w:asciiTheme="minorHAnsi" w:hAnsiTheme="minorHAnsi" w:cstheme="minorHAnsi"/>
          <w:b/>
          <w:bCs/>
          <w:color w:val="000000"/>
          <w:sz w:val="24"/>
        </w:rPr>
        <w:t>road</w:t>
      </w:r>
      <w:proofErr w:type="spellEnd"/>
      <w:r w:rsidRPr="00353178">
        <w:rPr>
          <w:rFonts w:asciiTheme="minorHAnsi" w:hAnsiTheme="minorHAnsi" w:cstheme="minorHAnsi"/>
          <w:b/>
          <w:bCs/>
          <w:color w:val="000000"/>
          <w:sz w:val="24"/>
        </w:rPr>
        <w:t xml:space="preserve"> </w:t>
      </w:r>
      <w:proofErr w:type="spellStart"/>
      <w:r w:rsidRPr="00353178">
        <w:rPr>
          <w:rFonts w:asciiTheme="minorHAnsi" w:hAnsiTheme="minorHAnsi" w:cstheme="minorHAnsi"/>
          <w:b/>
          <w:bCs/>
          <w:color w:val="000000"/>
          <w:sz w:val="24"/>
        </w:rPr>
        <w:t>show</w:t>
      </w:r>
      <w:proofErr w:type="spellEnd"/>
      <w:r w:rsidRPr="00353178">
        <w:rPr>
          <w:rFonts w:asciiTheme="minorHAnsi" w:hAnsiTheme="minorHAnsi" w:cstheme="minorHAnsi"/>
          <w:bCs/>
          <w:color w:val="000000"/>
          <w:sz w:val="24"/>
        </w:rPr>
        <w:t xml:space="preserve">, όπου ένα ειδικά διαμορφωμένο κινητό περίπτερο θα τοποθετηθεί σε κεντρικά σημεία στις 4 πρωτεύουσες των </w:t>
      </w:r>
      <w:r w:rsidR="00CD0937">
        <w:rPr>
          <w:rFonts w:asciiTheme="minorHAnsi" w:hAnsiTheme="minorHAnsi" w:cstheme="minorHAnsi"/>
          <w:bCs/>
          <w:color w:val="000000"/>
          <w:sz w:val="24"/>
        </w:rPr>
        <w:t>Περιφερειακών Ε</w:t>
      </w:r>
      <w:r>
        <w:rPr>
          <w:rFonts w:asciiTheme="minorHAnsi" w:hAnsiTheme="minorHAnsi" w:cstheme="minorHAnsi"/>
          <w:bCs/>
          <w:color w:val="000000"/>
          <w:sz w:val="24"/>
        </w:rPr>
        <w:t>νοτήτων</w:t>
      </w:r>
      <w:r w:rsidRPr="00353178">
        <w:rPr>
          <w:rFonts w:asciiTheme="minorHAnsi" w:hAnsiTheme="minorHAnsi" w:cstheme="minorHAnsi"/>
          <w:bCs/>
          <w:color w:val="000000"/>
          <w:sz w:val="24"/>
        </w:rPr>
        <w:t xml:space="preserve"> της Περιφέρειας. Στο περίπτερο αυτό, μικροί και μεγάλοι θα μπορέσουν να έρθουν σε επαφή με την Τεχνητή Νοημοσύνη και τον ψηφιακό κόσμο. </w:t>
      </w:r>
    </w:p>
    <w:p w:rsidR="00353178" w:rsidRP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353178" w:rsidRP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Ο προγραμματισμός των επισκέψεων σε κάθε πόλη έχει ως εξής:</w:t>
      </w:r>
    </w:p>
    <w:p w:rsid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15/5 Κοζάνη, </w:t>
      </w:r>
      <w:r w:rsidRPr="00353178">
        <w:rPr>
          <w:rFonts w:asciiTheme="minorHAnsi" w:hAnsiTheme="minorHAnsi" w:cstheme="minorHAnsi"/>
          <w:bCs/>
          <w:color w:val="000000"/>
          <w:sz w:val="24"/>
        </w:rPr>
        <w:t xml:space="preserve">Αθλητικό Κέντρο Λευκόβρυσης «Βασίλης </w:t>
      </w:r>
      <w:proofErr w:type="spellStart"/>
      <w:r w:rsidRPr="00353178">
        <w:rPr>
          <w:rFonts w:asciiTheme="minorHAnsi" w:hAnsiTheme="minorHAnsi" w:cstheme="minorHAnsi"/>
          <w:bCs/>
          <w:color w:val="000000"/>
          <w:sz w:val="24"/>
        </w:rPr>
        <w:t>Φλέγκας</w:t>
      </w:r>
      <w:proofErr w:type="spellEnd"/>
      <w:r w:rsidRPr="00353178">
        <w:rPr>
          <w:rFonts w:asciiTheme="minorHAnsi" w:hAnsiTheme="minorHAnsi" w:cstheme="minorHAnsi"/>
          <w:bCs/>
          <w:color w:val="000000"/>
          <w:sz w:val="24"/>
        </w:rPr>
        <w:t>»</w:t>
      </w:r>
      <w:r>
        <w:rPr>
          <w:rFonts w:asciiTheme="minorHAnsi" w:hAnsiTheme="minorHAnsi" w:cstheme="minorHAnsi"/>
          <w:bCs/>
          <w:color w:val="000000"/>
          <w:sz w:val="24"/>
        </w:rPr>
        <w:t xml:space="preserve">, ώρες </w:t>
      </w:r>
      <w:r w:rsidRPr="00353178">
        <w:rPr>
          <w:rFonts w:asciiTheme="minorHAnsi" w:hAnsiTheme="minorHAnsi" w:cstheme="minorHAnsi"/>
          <w:bCs/>
          <w:color w:val="000000"/>
          <w:sz w:val="24"/>
        </w:rPr>
        <w:t>12:00 – 18:00</w:t>
      </w:r>
    </w:p>
    <w:p w:rsidR="00353178" w:rsidRP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16/5 Γρεβενά,</w:t>
      </w:r>
      <w:r>
        <w:rPr>
          <w:rFonts w:asciiTheme="minorHAnsi" w:hAnsiTheme="minorHAnsi" w:cstheme="minorHAnsi"/>
          <w:bCs/>
          <w:color w:val="000000"/>
          <w:sz w:val="24"/>
        </w:rPr>
        <w:t xml:space="preserve"> </w:t>
      </w:r>
      <w:r w:rsidRPr="00353178">
        <w:rPr>
          <w:rFonts w:asciiTheme="minorHAnsi" w:hAnsiTheme="minorHAnsi" w:cstheme="minorHAnsi"/>
          <w:bCs/>
          <w:color w:val="000000"/>
          <w:sz w:val="24"/>
        </w:rPr>
        <w:t>Κεντρική Πλατεία Αιμιλιανού</w:t>
      </w:r>
      <w:r>
        <w:rPr>
          <w:rFonts w:asciiTheme="minorHAnsi" w:hAnsiTheme="minorHAnsi" w:cstheme="minorHAnsi"/>
          <w:bCs/>
          <w:color w:val="000000"/>
          <w:sz w:val="24"/>
        </w:rPr>
        <w:t>,</w:t>
      </w:r>
      <w:r w:rsidRPr="00353178">
        <w:rPr>
          <w:rFonts w:asciiTheme="minorHAnsi" w:hAnsiTheme="minorHAnsi" w:cstheme="minorHAnsi"/>
          <w:bCs/>
          <w:color w:val="000000"/>
          <w:sz w:val="24"/>
        </w:rPr>
        <w:t xml:space="preserve"> ώρες 14:00 -20:00</w:t>
      </w:r>
    </w:p>
    <w:p w:rsidR="00353178" w:rsidRP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17/5 Καστοριά, Πάρκο Ολυμπιακής Φλόγας</w:t>
      </w:r>
      <w:r>
        <w:rPr>
          <w:rFonts w:asciiTheme="minorHAnsi" w:hAnsiTheme="minorHAnsi" w:cstheme="minorHAnsi"/>
          <w:bCs/>
          <w:color w:val="000000"/>
          <w:sz w:val="24"/>
        </w:rPr>
        <w:t>,</w:t>
      </w:r>
      <w:r w:rsidRPr="00353178">
        <w:rPr>
          <w:rFonts w:asciiTheme="minorHAnsi" w:hAnsiTheme="minorHAnsi" w:cstheme="minorHAnsi"/>
          <w:bCs/>
          <w:color w:val="000000"/>
          <w:sz w:val="24"/>
        </w:rPr>
        <w:t xml:space="preserve"> ώρες 14:00 -20:00</w:t>
      </w:r>
    </w:p>
    <w:p w:rsidR="00353178" w:rsidRP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18/5 Φλώρινα, Νέο Δημοτικό Πάρκο Φλώρινας</w:t>
      </w:r>
      <w:r>
        <w:rPr>
          <w:rFonts w:asciiTheme="minorHAnsi" w:hAnsiTheme="minorHAnsi" w:cstheme="minorHAnsi"/>
          <w:bCs/>
          <w:color w:val="000000"/>
          <w:sz w:val="24"/>
        </w:rPr>
        <w:t>,</w:t>
      </w:r>
      <w:r w:rsidRPr="00353178">
        <w:rPr>
          <w:rFonts w:asciiTheme="minorHAnsi" w:hAnsiTheme="minorHAnsi" w:cstheme="minorHAnsi"/>
          <w:bCs/>
          <w:color w:val="000000"/>
          <w:sz w:val="24"/>
        </w:rPr>
        <w:t xml:space="preserve"> ώρες 14:00 -20:00 </w:t>
      </w:r>
    </w:p>
    <w:p w:rsid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9A3FA4" w:rsidRPr="009A3FA4" w:rsidRDefault="00897EA9">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1C72DF">
        <w:rPr>
          <w:rFonts w:asciiTheme="minorHAnsi" w:hAnsiTheme="minorHAnsi" w:cstheme="minorHAnsi"/>
          <w:bCs/>
          <w:sz w:val="24"/>
        </w:rPr>
        <w:t>Υπενθυμίζεται</w:t>
      </w:r>
      <w:r>
        <w:rPr>
          <w:rFonts w:asciiTheme="minorHAnsi" w:hAnsiTheme="minorHAnsi" w:cstheme="minorHAnsi"/>
          <w:bCs/>
          <w:color w:val="000000"/>
          <w:sz w:val="24"/>
        </w:rPr>
        <w:t xml:space="preserve"> ότι τον </w:t>
      </w:r>
      <w:r w:rsidRPr="009A3FA4">
        <w:rPr>
          <w:rFonts w:asciiTheme="minorHAnsi" w:hAnsiTheme="minorHAnsi" w:cstheme="minorHAnsi"/>
          <w:b/>
          <w:bCs/>
          <w:color w:val="000000"/>
          <w:sz w:val="24"/>
        </w:rPr>
        <w:t>Μαθητικό Διαγωνισμό με θέμα «Τεχνητή Νοημοσύνη στην Εκπαίδευση»</w:t>
      </w:r>
      <w:r>
        <w:rPr>
          <w:rFonts w:asciiTheme="minorHAnsi" w:hAnsiTheme="minorHAnsi" w:cstheme="minorHAnsi"/>
          <w:bCs/>
          <w:color w:val="000000"/>
          <w:sz w:val="24"/>
        </w:rPr>
        <w:t xml:space="preserve"> </w:t>
      </w:r>
      <w:r w:rsidRPr="009A3FA4">
        <w:rPr>
          <w:rFonts w:asciiTheme="minorHAnsi" w:hAnsiTheme="minorHAnsi" w:cstheme="minorHAnsi"/>
          <w:bCs/>
          <w:color w:val="000000"/>
          <w:sz w:val="24"/>
        </w:rPr>
        <w:t xml:space="preserve">διοργανώνουν </w:t>
      </w:r>
      <w:r>
        <w:rPr>
          <w:rFonts w:asciiTheme="minorHAnsi" w:hAnsiTheme="minorHAnsi" w:cstheme="minorHAnsi"/>
          <w:bCs/>
          <w:color w:val="000000"/>
          <w:sz w:val="24"/>
        </w:rPr>
        <w:t>η</w:t>
      </w:r>
      <w:r w:rsidR="009A3FA4" w:rsidRPr="009A3FA4">
        <w:rPr>
          <w:rFonts w:asciiTheme="minorHAnsi" w:hAnsiTheme="minorHAnsi" w:cstheme="minorHAnsi"/>
          <w:bCs/>
          <w:color w:val="000000"/>
          <w:sz w:val="24"/>
        </w:rPr>
        <w:t xml:space="preserve"> </w:t>
      </w:r>
      <w:r w:rsidR="009A3FA4" w:rsidRPr="009A3FA4">
        <w:rPr>
          <w:rFonts w:asciiTheme="minorHAnsi" w:hAnsiTheme="minorHAnsi" w:cstheme="minorHAnsi"/>
          <w:b/>
          <w:bCs/>
          <w:color w:val="000000"/>
          <w:sz w:val="24"/>
        </w:rPr>
        <w:t>Περιφέρεια Δυτικής Μακεδονίας</w:t>
      </w:r>
      <w:r w:rsidR="009A3FA4" w:rsidRPr="009A3FA4">
        <w:rPr>
          <w:rFonts w:asciiTheme="minorHAnsi" w:hAnsiTheme="minorHAnsi" w:cstheme="minorHAnsi"/>
          <w:bCs/>
          <w:color w:val="000000"/>
          <w:sz w:val="24"/>
        </w:rPr>
        <w:t xml:space="preserve"> και </w:t>
      </w:r>
      <w:r w:rsidR="009A3FA4" w:rsidRPr="009A3FA4">
        <w:rPr>
          <w:rFonts w:asciiTheme="minorHAnsi" w:hAnsiTheme="minorHAnsi" w:cstheme="minorHAnsi"/>
          <w:b/>
          <w:bCs/>
          <w:color w:val="000000"/>
          <w:sz w:val="24"/>
        </w:rPr>
        <w:t>η Ειδική Υπηρεσία Διαχείρισης του Επιχειρησιακού Προγράμματος Δυτικής Μακεδονίας</w:t>
      </w:r>
      <w:r w:rsidR="009A3FA4" w:rsidRPr="009A3FA4">
        <w:rPr>
          <w:rFonts w:asciiTheme="minorHAnsi" w:hAnsiTheme="minorHAnsi" w:cstheme="minorHAnsi"/>
          <w:bCs/>
          <w:color w:val="000000"/>
          <w:sz w:val="24"/>
        </w:rPr>
        <w:t xml:space="preserve"> τού </w:t>
      </w:r>
      <w:r w:rsidR="009A3FA4" w:rsidRPr="009A3FA4">
        <w:rPr>
          <w:rFonts w:asciiTheme="minorHAnsi" w:hAnsiTheme="minorHAnsi" w:cstheme="minorHAnsi"/>
          <w:b/>
          <w:bCs/>
          <w:color w:val="000000"/>
          <w:sz w:val="24"/>
        </w:rPr>
        <w:t>ΕΣΠΑ 2014-2020</w:t>
      </w:r>
      <w:r w:rsidR="009A3FA4" w:rsidRPr="009A3FA4">
        <w:rPr>
          <w:rFonts w:asciiTheme="minorHAnsi" w:hAnsiTheme="minorHAnsi" w:cstheme="minorHAnsi"/>
          <w:bCs/>
          <w:color w:val="000000"/>
          <w:sz w:val="24"/>
        </w:rPr>
        <w:t xml:space="preserve">, σε συνεργασία με την </w:t>
      </w:r>
      <w:r w:rsidR="009A3FA4" w:rsidRPr="009A3FA4">
        <w:rPr>
          <w:rFonts w:asciiTheme="minorHAnsi" w:hAnsiTheme="minorHAnsi" w:cstheme="minorHAnsi"/>
          <w:b/>
          <w:bCs/>
          <w:color w:val="000000"/>
          <w:sz w:val="24"/>
        </w:rPr>
        <w:t>Περιφερειακή Διεύθυνση Πρωτοβάθμιας και Δευτεροβάθμιας Εκπαίδευσης Δυτικής Μακεδονίας</w:t>
      </w:r>
      <w:r w:rsidR="009A3FA4" w:rsidRPr="009A3FA4">
        <w:rPr>
          <w:rFonts w:asciiTheme="minorHAnsi" w:hAnsiTheme="minorHAnsi" w:cstheme="minorHAnsi"/>
          <w:bCs/>
          <w:color w:val="000000"/>
          <w:sz w:val="24"/>
        </w:rPr>
        <w:t xml:space="preserve"> και με την υποστήριξη της </w:t>
      </w:r>
      <w:r w:rsidR="009A3FA4" w:rsidRPr="009A3FA4">
        <w:rPr>
          <w:rFonts w:asciiTheme="minorHAnsi" w:hAnsiTheme="minorHAnsi" w:cstheme="minorHAnsi"/>
          <w:b/>
          <w:bCs/>
          <w:color w:val="000000"/>
          <w:sz w:val="24"/>
        </w:rPr>
        <w:t>Ευρωπαϊκής Επιτροπής/Γενική Διεύθυνση Περιφερειακής και Αστικής Πολιτικής (DG-REGIO)</w:t>
      </w:r>
      <w:r w:rsidR="009A3FA4" w:rsidRPr="009A3FA4">
        <w:rPr>
          <w:rFonts w:asciiTheme="minorHAnsi" w:hAnsiTheme="minorHAnsi" w:cstheme="minorHAnsi"/>
          <w:bCs/>
          <w:color w:val="000000"/>
          <w:sz w:val="24"/>
        </w:rPr>
        <w:t>.</w:t>
      </w: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color w:val="1F497D"/>
          <w:sz w:val="18"/>
        </w:rPr>
      </w:pP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bCs/>
          <w:sz w:val="24"/>
        </w:rPr>
      </w:pPr>
      <w:r w:rsidRPr="009A3FA4">
        <w:rPr>
          <w:rFonts w:asciiTheme="minorHAnsi" w:hAnsiTheme="minorHAnsi" w:cstheme="minorHAnsi"/>
          <w:bCs/>
          <w:sz w:val="24"/>
        </w:rPr>
        <w:t xml:space="preserve">Ο διαγωνισμός εντάσσεται στις </w:t>
      </w:r>
      <w:r w:rsidRPr="009A3FA4">
        <w:rPr>
          <w:rFonts w:asciiTheme="minorHAnsi" w:hAnsiTheme="minorHAnsi" w:cstheme="minorHAnsi"/>
          <w:b/>
          <w:bCs/>
          <w:sz w:val="24"/>
        </w:rPr>
        <w:t>δράσεις Ενημέρωσης και Επικοινωνίας</w:t>
      </w:r>
      <w:r w:rsidRPr="009A3FA4">
        <w:rPr>
          <w:rFonts w:asciiTheme="minorHAnsi" w:hAnsiTheme="minorHAnsi" w:cstheme="minorHAnsi"/>
          <w:bCs/>
          <w:sz w:val="24"/>
        </w:rPr>
        <w:t xml:space="preserve"> τού Επιχειρησιακού Προγράμματος Δυτικής Μακεδονίας 2014-2020, που χρηματοδοτούνται από το </w:t>
      </w:r>
      <w:r w:rsidRPr="009A3FA4">
        <w:rPr>
          <w:rFonts w:asciiTheme="minorHAnsi" w:hAnsiTheme="minorHAnsi" w:cstheme="minorHAnsi"/>
          <w:b/>
          <w:bCs/>
          <w:sz w:val="24"/>
        </w:rPr>
        <w:t>Ευρωπαϊκό Ταμείο Περιφερειακής Ανάπτυξης (ΕΤΠΑ)</w:t>
      </w:r>
      <w:r w:rsidRPr="009A3FA4">
        <w:rPr>
          <w:rFonts w:asciiTheme="minorHAnsi" w:hAnsiTheme="minorHAnsi" w:cstheme="minorHAnsi"/>
          <w:bCs/>
          <w:sz w:val="24"/>
        </w:rPr>
        <w:t xml:space="preserve"> και </w:t>
      </w:r>
      <w:r w:rsidRPr="009A3FA4">
        <w:rPr>
          <w:rFonts w:asciiTheme="minorHAnsi" w:hAnsiTheme="minorHAnsi" w:cstheme="minorHAnsi"/>
          <w:b/>
          <w:bCs/>
          <w:sz w:val="24"/>
        </w:rPr>
        <w:t>Εθνικούς πόρους</w:t>
      </w:r>
      <w:r w:rsidRPr="009A3FA4">
        <w:rPr>
          <w:rFonts w:asciiTheme="minorHAnsi" w:hAnsiTheme="minorHAnsi" w:cstheme="minorHAnsi"/>
          <w:bCs/>
          <w:sz w:val="24"/>
        </w:rPr>
        <w:t xml:space="preserve">. </w:t>
      </w:r>
      <w:r w:rsidR="00862597">
        <w:rPr>
          <w:rFonts w:asciiTheme="minorHAnsi" w:hAnsiTheme="minorHAnsi" w:cstheme="minorHAnsi"/>
          <w:bCs/>
          <w:sz w:val="24"/>
        </w:rPr>
        <w:t>Επιπλέον, α</w:t>
      </w:r>
      <w:r w:rsidRPr="009A3FA4">
        <w:rPr>
          <w:rFonts w:asciiTheme="minorHAnsi" w:hAnsiTheme="minorHAnsi" w:cstheme="minorHAnsi"/>
          <w:bCs/>
          <w:sz w:val="24"/>
        </w:rPr>
        <w:t>ποτελεί μέρος τ</w:t>
      </w:r>
      <w:r w:rsidR="00862597">
        <w:rPr>
          <w:rFonts w:asciiTheme="minorHAnsi" w:hAnsiTheme="minorHAnsi" w:cstheme="minorHAnsi"/>
          <w:bCs/>
          <w:sz w:val="24"/>
        </w:rPr>
        <w:t>ή</w:t>
      </w:r>
      <w:r w:rsidRPr="009A3FA4">
        <w:rPr>
          <w:rFonts w:asciiTheme="minorHAnsi" w:hAnsiTheme="minorHAnsi" w:cstheme="minorHAnsi"/>
          <w:bCs/>
          <w:sz w:val="24"/>
        </w:rPr>
        <w:t>ς πρωτοβουλίας «</w:t>
      </w:r>
      <w:r w:rsidRPr="009A3FA4">
        <w:rPr>
          <w:rFonts w:asciiTheme="minorHAnsi" w:hAnsiTheme="minorHAnsi" w:cstheme="minorHAnsi"/>
          <w:b/>
          <w:bCs/>
          <w:sz w:val="24"/>
        </w:rPr>
        <w:t>Η ΕΕ στο σχολείο μου</w:t>
      </w:r>
      <w:r w:rsidRPr="009A3FA4">
        <w:rPr>
          <w:rFonts w:asciiTheme="minorHAnsi" w:hAnsiTheme="minorHAnsi" w:cstheme="minorHAnsi"/>
          <w:bCs/>
          <w:sz w:val="24"/>
        </w:rPr>
        <w:t>», στο πλαίσιο της εκστρατείας-ομπρέλας «</w:t>
      </w:r>
      <w:r w:rsidRPr="009A3FA4">
        <w:rPr>
          <w:rFonts w:asciiTheme="minorHAnsi" w:hAnsiTheme="minorHAnsi" w:cstheme="minorHAnsi"/>
          <w:b/>
          <w:bCs/>
          <w:sz w:val="24"/>
        </w:rPr>
        <w:t>Η Ευρώπη στην περιοχή μου</w:t>
      </w:r>
      <w:r w:rsidRPr="009A3FA4">
        <w:rPr>
          <w:rFonts w:asciiTheme="minorHAnsi" w:hAnsiTheme="minorHAnsi" w:cstheme="minorHAnsi"/>
          <w:bCs/>
          <w:sz w:val="24"/>
        </w:rPr>
        <w:t>» που διοργανώνεται από τη</w:t>
      </w:r>
      <w:r w:rsidR="00862597">
        <w:rPr>
          <w:rFonts w:asciiTheme="minorHAnsi" w:hAnsiTheme="minorHAnsi" w:cstheme="minorHAnsi"/>
          <w:bCs/>
          <w:sz w:val="24"/>
        </w:rPr>
        <w:t>ν</w:t>
      </w:r>
      <w:r w:rsidRPr="009A3FA4">
        <w:rPr>
          <w:rFonts w:asciiTheme="minorHAnsi" w:hAnsiTheme="minorHAnsi" w:cstheme="minorHAnsi"/>
          <w:bCs/>
          <w:sz w:val="24"/>
        </w:rPr>
        <w:t xml:space="preserve"> </w:t>
      </w:r>
      <w:r w:rsidRPr="009A3FA4">
        <w:rPr>
          <w:rFonts w:asciiTheme="minorHAnsi" w:hAnsiTheme="minorHAnsi" w:cstheme="minorHAnsi"/>
          <w:b/>
          <w:bCs/>
          <w:sz w:val="24"/>
        </w:rPr>
        <w:t>Γενική Διεύθυνση Περιφερειακής και Αστικής Πολιτικής (DG-REGIO)</w:t>
      </w:r>
      <w:r w:rsidRPr="009A3FA4">
        <w:rPr>
          <w:rFonts w:asciiTheme="minorHAnsi" w:hAnsiTheme="minorHAnsi" w:cstheme="minorHAnsi"/>
          <w:bCs/>
          <w:sz w:val="24"/>
        </w:rPr>
        <w:t xml:space="preserve"> της </w:t>
      </w:r>
      <w:r w:rsidRPr="009A3FA4">
        <w:rPr>
          <w:rFonts w:asciiTheme="minorHAnsi" w:hAnsiTheme="minorHAnsi" w:cstheme="minorHAnsi"/>
          <w:b/>
          <w:bCs/>
          <w:sz w:val="24"/>
        </w:rPr>
        <w:t>Ευρωπαϊκής Επιτροπής</w:t>
      </w:r>
      <w:r w:rsidRPr="009A3FA4">
        <w:rPr>
          <w:rFonts w:asciiTheme="minorHAnsi" w:hAnsiTheme="minorHAnsi" w:cstheme="minorHAnsi"/>
          <w:bCs/>
          <w:sz w:val="24"/>
        </w:rPr>
        <w:t>.</w:t>
      </w: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bCs/>
          <w:sz w:val="24"/>
        </w:rPr>
      </w:pPr>
    </w:p>
    <w:p w:rsidR="009A3FA4" w:rsidRPr="009A3FA4" w:rsidRDefault="009A3FA4">
      <w:pPr>
        <w:pBdr>
          <w:right w:val="single" w:sz="12" w:space="12" w:color="C8CDD1"/>
        </w:pBdr>
        <w:spacing w:before="100" w:beforeAutospacing="1"/>
        <w:contextualSpacing/>
        <w:jc w:val="both"/>
        <w:rPr>
          <w:rFonts w:asciiTheme="minorHAnsi" w:hAnsiTheme="minorHAnsi" w:cstheme="minorHAnsi"/>
          <w:bCs/>
          <w:color w:val="000000"/>
          <w:sz w:val="24"/>
        </w:rPr>
      </w:pPr>
      <w:r w:rsidRPr="009A3FA4">
        <w:rPr>
          <w:rFonts w:asciiTheme="minorHAnsi" w:hAnsiTheme="minorHAnsi" w:cstheme="minorHAnsi"/>
          <w:bCs/>
          <w:color w:val="000000"/>
          <w:sz w:val="24"/>
        </w:rPr>
        <w:t xml:space="preserve">Ο διαγωνισμός υλοποιείται </w:t>
      </w:r>
      <w:r w:rsidRPr="009A3FA4">
        <w:rPr>
          <w:rFonts w:asciiTheme="minorHAnsi" w:hAnsiTheme="minorHAnsi" w:cstheme="minorHAnsi"/>
          <w:b/>
          <w:bCs/>
          <w:color w:val="000000"/>
          <w:sz w:val="24"/>
        </w:rPr>
        <w:t>σε όλες τις σχολικές μονάδες Πρωτοβάθμιας και Δευτεροβάθμιας Εκπαίδευσης της Δυτικής Μακεδονίας</w:t>
      </w:r>
      <w:r w:rsidRPr="009A3FA4">
        <w:rPr>
          <w:rFonts w:asciiTheme="minorHAnsi" w:hAnsiTheme="minorHAnsi" w:cstheme="minorHAnsi"/>
          <w:bCs/>
          <w:color w:val="000000"/>
          <w:sz w:val="24"/>
        </w:rPr>
        <w:t xml:space="preserve">, με σκοπό να ανοίξουν οι πόρτες τής Ψηφιακής Εποχής για τα παιδιά και τους νέους της Δυτικής Μακεδονίας, μέσω και της αξιοποίησης του εξοπλισμού που παρέλαβαν </w:t>
      </w:r>
      <w:r w:rsidRPr="009A3FA4">
        <w:rPr>
          <w:rFonts w:asciiTheme="minorHAnsi" w:hAnsiTheme="minorHAnsi" w:cstheme="minorHAnsi"/>
          <w:b/>
          <w:bCs/>
          <w:color w:val="000000"/>
          <w:sz w:val="24"/>
        </w:rPr>
        <w:t>451 σχολικές μονάδες</w:t>
      </w:r>
      <w:r w:rsidRPr="009A3FA4">
        <w:rPr>
          <w:rFonts w:asciiTheme="minorHAnsi" w:hAnsiTheme="minorHAnsi" w:cstheme="minorHAnsi"/>
          <w:bCs/>
          <w:color w:val="000000"/>
          <w:sz w:val="24"/>
        </w:rPr>
        <w:t xml:space="preserve"> τής Δυτικής Μακεδονίας, στο πλαίσιο της υλοποίησης της Πράξης “</w:t>
      </w:r>
      <w:r w:rsidRPr="009A3FA4">
        <w:rPr>
          <w:rFonts w:asciiTheme="minorHAnsi" w:hAnsiTheme="minorHAnsi" w:cstheme="minorHAnsi"/>
          <w:b/>
          <w:bCs/>
          <w:color w:val="000000"/>
          <w:sz w:val="24"/>
        </w:rPr>
        <w:t>Προμήθεια και εγκατάσταση εξοπλισμού ΤΠΕ σχολικών μονάδων Πρωτοβάθμιας και Δευτεροβάθμιας Εκπαίδευσης της Περιφέρειας Δυτικής Μακεδονίας</w:t>
      </w:r>
      <w:r w:rsidRPr="009A3FA4">
        <w:rPr>
          <w:rFonts w:asciiTheme="minorHAnsi" w:hAnsiTheme="minorHAnsi" w:cstheme="minorHAnsi"/>
          <w:bCs/>
          <w:color w:val="000000"/>
          <w:sz w:val="24"/>
        </w:rPr>
        <w:t>”, το οποίο χρηματοδοτήθηκε από πόρους τής Ευρωπαϊκής Ένωσης (Ευρωπαϊκό Ταμείο Περιφερειακής Ανάπτυξης - ΕΤΠΑ) και της Ελλάδας, μέσω του Επιχειρησιακού Προγράμματος Δυτικής Μακεδονίας τού ΕΣΠΑ 2014-2020.</w:t>
      </w: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9A3FA4" w:rsidRPr="009A3FA4" w:rsidRDefault="009A3FA4">
      <w:pPr>
        <w:pBdr>
          <w:right w:val="single" w:sz="12" w:space="12" w:color="C8CDD1"/>
        </w:pBdr>
        <w:spacing w:before="100" w:beforeAutospacing="1"/>
        <w:contextualSpacing/>
        <w:jc w:val="both"/>
        <w:rPr>
          <w:rFonts w:asciiTheme="minorHAnsi" w:hAnsiTheme="minorHAnsi" w:cstheme="minorHAnsi"/>
          <w:bCs/>
          <w:color w:val="000000"/>
          <w:sz w:val="24"/>
        </w:rPr>
      </w:pPr>
      <w:r w:rsidRPr="009A3FA4">
        <w:rPr>
          <w:rFonts w:asciiTheme="minorHAnsi" w:hAnsiTheme="minorHAnsi" w:cstheme="minorHAnsi"/>
          <w:bCs/>
          <w:color w:val="000000"/>
          <w:sz w:val="24"/>
        </w:rPr>
        <w:t xml:space="preserve">Για περισσότερες πληροφορίες και για συνεχή ενημέρωση σχετικά με τον Διαγωνισμό, ακολουθήστε τον σύνδεσμο: </w:t>
      </w:r>
      <w:hyperlink r:id="rId10" w:history="1">
        <w:r w:rsidRPr="00353178">
          <w:rPr>
            <w:rStyle w:val="-"/>
            <w:rFonts w:asciiTheme="minorHAnsi" w:hAnsiTheme="minorHAnsi" w:cstheme="minorHAnsi"/>
            <w:bCs/>
          </w:rPr>
          <w:t>https://dmaked.pde.sch.gr/index.php/draseis/eu-in-my-region-2022</w:t>
        </w:r>
      </w:hyperlink>
      <w:r w:rsidRPr="00353178">
        <w:rPr>
          <w:rFonts w:asciiTheme="minorHAnsi" w:hAnsiTheme="minorHAnsi" w:cstheme="minorHAnsi"/>
          <w:bCs/>
          <w:color w:val="000000"/>
        </w:rPr>
        <w:t xml:space="preserve"> </w:t>
      </w:r>
    </w:p>
    <w:p w:rsidR="009A3FA4" w:rsidRPr="009A3FA4" w:rsidRDefault="009A3FA4">
      <w:pPr>
        <w:widowControl w:val="0"/>
        <w:pBdr>
          <w:right w:val="single" w:sz="12" w:space="12" w:color="C8CDD1"/>
        </w:pBdr>
        <w:spacing w:after="120" w:line="280" w:lineRule="atLeast"/>
        <w:contextualSpacing/>
        <w:jc w:val="both"/>
        <w:rPr>
          <w:rFonts w:asciiTheme="minorHAnsi" w:hAnsiTheme="minorHAnsi" w:cstheme="minorHAnsi"/>
          <w:bCs/>
          <w:color w:val="000000"/>
          <w:sz w:val="24"/>
        </w:rPr>
      </w:pPr>
    </w:p>
    <w:p w:rsidR="009A3FA4" w:rsidRPr="009A3FA4" w:rsidRDefault="009A3FA4">
      <w:pPr>
        <w:pBdr>
          <w:right w:val="single" w:sz="12" w:space="12" w:color="C8CDD1"/>
        </w:pBdr>
        <w:spacing w:before="100" w:beforeAutospacing="1"/>
        <w:contextualSpacing/>
        <w:jc w:val="both"/>
        <w:rPr>
          <w:rFonts w:asciiTheme="minorHAnsi" w:hAnsiTheme="minorHAnsi" w:cstheme="minorHAnsi"/>
          <w:bCs/>
          <w:color w:val="000000"/>
          <w:sz w:val="24"/>
        </w:rPr>
      </w:pPr>
      <w:r w:rsidRPr="009A3FA4">
        <w:rPr>
          <w:rFonts w:asciiTheme="minorHAnsi" w:hAnsiTheme="minorHAnsi" w:cstheme="minorHAnsi"/>
          <w:bCs/>
          <w:color w:val="000000"/>
          <w:sz w:val="24"/>
        </w:rPr>
        <w:t>Για περισσότερες πληροφορίες σχετικά με την εκστρατεία-ομπρέλα «Η Ευρώπη στην περιοχή μου» της Γενικής Διεύθυνσης Περιφερειακής και Αστικής Πολιτικής της Ευρωπαϊκής Επιτροπής (DG-REGIO), ακολουθήστε τον σύνδεσμο:</w:t>
      </w:r>
      <w:r w:rsidR="00353178">
        <w:rPr>
          <w:rFonts w:asciiTheme="minorHAnsi" w:hAnsiTheme="minorHAnsi" w:cstheme="minorHAnsi"/>
          <w:bCs/>
          <w:color w:val="000000"/>
          <w:sz w:val="24"/>
        </w:rPr>
        <w:t xml:space="preserve">  </w:t>
      </w:r>
      <w:hyperlink r:id="rId11" w:history="1">
        <w:r w:rsidRPr="00353178">
          <w:rPr>
            <w:rStyle w:val="-"/>
            <w:rFonts w:asciiTheme="minorHAnsi" w:hAnsiTheme="minorHAnsi" w:cstheme="minorHAnsi"/>
            <w:bCs/>
          </w:rPr>
          <w:t>https://ec.europa.eu/regional_policy/en/policy/communication/euinmyregion/</w:t>
        </w:r>
      </w:hyperlink>
      <w:r w:rsidRPr="00353178">
        <w:rPr>
          <w:rFonts w:asciiTheme="minorHAnsi" w:hAnsiTheme="minorHAnsi" w:cstheme="minorHAnsi"/>
          <w:bCs/>
          <w:color w:val="000000"/>
        </w:rPr>
        <w:t xml:space="preserve"> </w:t>
      </w:r>
    </w:p>
    <w:p w:rsidR="009A3FA4" w:rsidRPr="009A3FA4" w:rsidRDefault="009A3FA4">
      <w:pPr>
        <w:shd w:val="clear" w:color="auto" w:fill="FFFFFF"/>
        <w:spacing w:after="135"/>
        <w:jc w:val="both"/>
        <w:rPr>
          <w:rFonts w:asciiTheme="minorHAnsi" w:eastAsia="Times New Roman" w:hAnsiTheme="minorHAnsi" w:cstheme="minorHAnsi"/>
          <w:color w:val="333333"/>
          <w:sz w:val="18"/>
        </w:rPr>
      </w:pPr>
      <w:r w:rsidRPr="009A3FA4">
        <w:rPr>
          <w:rFonts w:asciiTheme="minorHAnsi" w:eastAsia="Times New Roman" w:hAnsiTheme="minorHAnsi" w:cstheme="minorHAnsi"/>
          <w:color w:val="333333"/>
          <w:sz w:val="18"/>
        </w:rPr>
        <w:t> </w:t>
      </w:r>
    </w:p>
    <w:p w:rsidR="009A3FA4" w:rsidRPr="009A3FA4" w:rsidRDefault="009A3FA4">
      <w:pPr>
        <w:shd w:val="clear" w:color="auto" w:fill="FFFFFF"/>
        <w:spacing w:after="135"/>
        <w:jc w:val="both"/>
        <w:rPr>
          <w:rFonts w:asciiTheme="minorHAnsi" w:hAnsiTheme="minorHAnsi" w:cstheme="minorHAnsi"/>
          <w:sz w:val="18"/>
          <w:lang w:eastAsia="en-US"/>
        </w:rPr>
      </w:pPr>
    </w:p>
    <w:p w:rsidR="005D12D7" w:rsidRPr="00A75711" w:rsidRDefault="005D12D7" w:rsidP="009A3FA4">
      <w:pPr>
        <w:spacing w:line="360" w:lineRule="auto"/>
        <w:ind w:right="-1"/>
        <w:jc w:val="center"/>
        <w:rPr>
          <w:rFonts w:ascii="Calibri" w:hAnsi="Calibri" w:cs="Calibri"/>
          <w:sz w:val="20"/>
        </w:rPr>
      </w:pPr>
    </w:p>
    <w:sectPr w:rsidR="005D12D7" w:rsidRPr="00A75711" w:rsidSect="00D77C98">
      <w:headerReference w:type="default" r:id="rId12"/>
      <w:pgSz w:w="11906" w:h="16838"/>
      <w:pgMar w:top="1276" w:right="849" w:bottom="568" w:left="709"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1C" w:rsidRDefault="006B241C">
      <w:r>
        <w:separator/>
      </w:r>
    </w:p>
  </w:endnote>
  <w:endnote w:type="continuationSeparator" w:id="0">
    <w:p w:rsidR="006B241C" w:rsidRDefault="006B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1C" w:rsidRDefault="006B241C">
      <w:r>
        <w:separator/>
      </w:r>
    </w:p>
  </w:footnote>
  <w:footnote w:type="continuationSeparator" w:id="0">
    <w:p w:rsidR="006B241C" w:rsidRDefault="006B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808080"/>
      </w:tblBorders>
      <w:tblLayout w:type="fixed"/>
      <w:tblLook w:val="0000" w:firstRow="0" w:lastRow="0" w:firstColumn="0" w:lastColumn="0" w:noHBand="0" w:noVBand="0"/>
    </w:tblPr>
    <w:tblGrid>
      <w:gridCol w:w="1738"/>
      <w:gridCol w:w="8293"/>
    </w:tblGrid>
    <w:tr w:rsidR="005D12D7" w:rsidTr="00315938">
      <w:trPr>
        <w:trHeight w:val="899"/>
        <w:jc w:val="center"/>
      </w:trPr>
      <w:tc>
        <w:tcPr>
          <w:tcW w:w="1738" w:type="dxa"/>
          <w:tcBorders>
            <w:bottom w:val="nil"/>
          </w:tcBorders>
        </w:tcPr>
        <w:p w:rsidR="005D12D7" w:rsidRDefault="00834D3C">
          <w:pPr>
            <w:pStyle w:val="a9"/>
            <w:jc w:val="center"/>
            <w:rPr>
              <w:rFonts w:ascii="Tahoma" w:hAnsi="Tahoma"/>
            </w:rPr>
          </w:pPr>
          <w:r>
            <w:rPr>
              <w:noProof/>
            </w:rPr>
            <w:drawing>
              <wp:anchor distT="0" distB="0" distL="114300" distR="114300" simplePos="0" relativeHeight="251657728" behindDoc="0" locked="0" layoutInCell="1" allowOverlap="1">
                <wp:simplePos x="0" y="0"/>
                <wp:positionH relativeFrom="column">
                  <wp:posOffset>110490</wp:posOffset>
                </wp:positionH>
                <wp:positionV relativeFrom="paragraph">
                  <wp:posOffset>2540</wp:posOffset>
                </wp:positionV>
                <wp:extent cx="527050" cy="571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3" w:type="dxa"/>
          <w:vAlign w:val="center"/>
        </w:tcPr>
        <w:p w:rsidR="005D12D7" w:rsidRDefault="005D12D7">
          <w:pPr>
            <w:pStyle w:val="a9"/>
            <w:spacing w:before="80"/>
            <w:rPr>
              <w:b/>
              <w:sz w:val="20"/>
            </w:rPr>
          </w:pPr>
          <w:r>
            <w:rPr>
              <w:b/>
              <w:sz w:val="20"/>
            </w:rPr>
            <w:t>ΕΛΛΗΝΙΚΗ ΔΗΜΟΚΡΑΤΙΑ</w:t>
          </w:r>
        </w:p>
        <w:p w:rsidR="005D12D7" w:rsidRDefault="005D12D7">
          <w:pPr>
            <w:pStyle w:val="a9"/>
            <w:rPr>
              <w:b/>
            </w:rPr>
          </w:pPr>
          <w:r>
            <w:rPr>
              <w:b/>
              <w:sz w:val="20"/>
            </w:rPr>
            <w:t>ΠΕΡΙΦΕΡΕΙΑ ΔΥΤΙΚΗΣ ΜΑΚΕΔΟΝΙΑΣ</w:t>
          </w:r>
        </w:p>
      </w:tc>
    </w:tr>
  </w:tbl>
  <w:p w:rsidR="005D12D7" w:rsidRDefault="005D12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9B4"/>
    <w:multiLevelType w:val="hybridMultilevel"/>
    <w:tmpl w:val="EB68857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 w15:restartNumberingAfterBreak="0">
    <w:nsid w:val="26CA3BF3"/>
    <w:multiLevelType w:val="hybridMultilevel"/>
    <w:tmpl w:val="8C1C7E0E"/>
    <w:lvl w:ilvl="0" w:tplc="16309618">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BD8114F"/>
    <w:multiLevelType w:val="multilevel"/>
    <w:tmpl w:val="6BD8114F"/>
    <w:lvl w:ilvl="0">
      <w:start w:val="1"/>
      <w:numFmt w:val="decimal"/>
      <w:pStyle w:val="1"/>
      <w:suff w:val="nothing"/>
      <w:lvlText w:val="%1."/>
      <w:lvlJc w:val="left"/>
      <w:pPr>
        <w:ind w:left="0" w:firstLine="0"/>
      </w:pPr>
      <w:rPr>
        <w:rFonts w:ascii="Tahoma" w:hAnsi="Tahoma" w:hint="default"/>
        <w:b/>
        <w:i w:val="0"/>
        <w:sz w:val="22"/>
        <w:szCs w:val="22"/>
      </w:rPr>
    </w:lvl>
    <w:lvl w:ilvl="1">
      <w:start w:val="1"/>
      <w:numFmt w:val="decimal"/>
      <w:pStyle w:val="2"/>
      <w:suff w:val="nothing"/>
      <w:lvlText w:val="%1.%2."/>
      <w:lvlJc w:val="left"/>
      <w:pPr>
        <w:ind w:left="0" w:firstLine="0"/>
      </w:pPr>
      <w:rPr>
        <w:rFonts w:ascii="Tahoma" w:hAnsi="Tahoma" w:hint="default"/>
        <w:b/>
        <w:i w:val="0"/>
        <w:sz w:val="22"/>
        <w:szCs w:val="22"/>
      </w:rPr>
    </w:lvl>
    <w:lvl w:ilvl="2">
      <w:start w:val="1"/>
      <w:numFmt w:val="decimal"/>
      <w:pStyle w:val="3"/>
      <w:suff w:val="nothing"/>
      <w:lvlText w:val="%1.%2.%3."/>
      <w:lvlJc w:val="left"/>
      <w:pPr>
        <w:ind w:left="0" w:firstLine="0"/>
      </w:pPr>
      <w:rPr>
        <w:rFonts w:ascii="Tahoma" w:hAnsi="Tahoma" w:hint="default"/>
        <w:b/>
        <w:i w:val="0"/>
        <w:sz w:val="22"/>
        <w:szCs w:val="22"/>
      </w:rPr>
    </w:lvl>
    <w:lvl w:ilvl="3">
      <w:start w:val="1"/>
      <w:numFmt w:val="decimal"/>
      <w:pStyle w:val="4"/>
      <w:lvlText w:val="%1.%2.%3.%4."/>
      <w:lvlJc w:val="left"/>
      <w:pPr>
        <w:tabs>
          <w:tab w:val="num" w:pos="284"/>
        </w:tabs>
        <w:ind w:left="284" w:hanging="284"/>
      </w:pPr>
      <w:rPr>
        <w:rFonts w:ascii="Tahoma" w:hAnsi="Tahoma" w:hint="default"/>
        <w:b/>
        <w:i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179730C"/>
    <w:multiLevelType w:val="hybridMultilevel"/>
    <w:tmpl w:val="BD862D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904"/>
    <w:rsid w:val="00046E88"/>
    <w:rsid w:val="00053E44"/>
    <w:rsid w:val="000548EA"/>
    <w:rsid w:val="00054A32"/>
    <w:rsid w:val="00071E78"/>
    <w:rsid w:val="00091C0D"/>
    <w:rsid w:val="000A3FFC"/>
    <w:rsid w:val="001229B3"/>
    <w:rsid w:val="00131AEA"/>
    <w:rsid w:val="00172A27"/>
    <w:rsid w:val="00186E23"/>
    <w:rsid w:val="001C72DF"/>
    <w:rsid w:val="001D1B07"/>
    <w:rsid w:val="001E379A"/>
    <w:rsid w:val="001F318E"/>
    <w:rsid w:val="002910DC"/>
    <w:rsid w:val="002D08EB"/>
    <w:rsid w:val="002E5C72"/>
    <w:rsid w:val="00302D88"/>
    <w:rsid w:val="00315938"/>
    <w:rsid w:val="00353178"/>
    <w:rsid w:val="00367B1C"/>
    <w:rsid w:val="0037231F"/>
    <w:rsid w:val="0037432A"/>
    <w:rsid w:val="0041330C"/>
    <w:rsid w:val="00427E3B"/>
    <w:rsid w:val="00463A73"/>
    <w:rsid w:val="004A4222"/>
    <w:rsid w:val="00500824"/>
    <w:rsid w:val="005018D0"/>
    <w:rsid w:val="00504F59"/>
    <w:rsid w:val="0052137D"/>
    <w:rsid w:val="0055603D"/>
    <w:rsid w:val="005A6A67"/>
    <w:rsid w:val="005A718F"/>
    <w:rsid w:val="005B1CD7"/>
    <w:rsid w:val="005B7144"/>
    <w:rsid w:val="005D12D7"/>
    <w:rsid w:val="005D4EC1"/>
    <w:rsid w:val="005E2EAC"/>
    <w:rsid w:val="00641E8F"/>
    <w:rsid w:val="00663C70"/>
    <w:rsid w:val="00664FFC"/>
    <w:rsid w:val="00673EEA"/>
    <w:rsid w:val="006A14A7"/>
    <w:rsid w:val="006B241C"/>
    <w:rsid w:val="006D06D7"/>
    <w:rsid w:val="00753A11"/>
    <w:rsid w:val="007579C2"/>
    <w:rsid w:val="007676AD"/>
    <w:rsid w:val="007A54CE"/>
    <w:rsid w:val="007C0442"/>
    <w:rsid w:val="007E3A8A"/>
    <w:rsid w:val="00805472"/>
    <w:rsid w:val="00830065"/>
    <w:rsid w:val="0083017F"/>
    <w:rsid w:val="00834D3C"/>
    <w:rsid w:val="008368FE"/>
    <w:rsid w:val="00842794"/>
    <w:rsid w:val="00850790"/>
    <w:rsid w:val="00862597"/>
    <w:rsid w:val="008641AD"/>
    <w:rsid w:val="0087038D"/>
    <w:rsid w:val="00892534"/>
    <w:rsid w:val="00897EA9"/>
    <w:rsid w:val="008C7C71"/>
    <w:rsid w:val="008F1F71"/>
    <w:rsid w:val="00927C36"/>
    <w:rsid w:val="0093681A"/>
    <w:rsid w:val="00941592"/>
    <w:rsid w:val="00950A2C"/>
    <w:rsid w:val="00962DAF"/>
    <w:rsid w:val="00963A96"/>
    <w:rsid w:val="009646A5"/>
    <w:rsid w:val="00964DD7"/>
    <w:rsid w:val="009853B7"/>
    <w:rsid w:val="009A3FA4"/>
    <w:rsid w:val="009C2514"/>
    <w:rsid w:val="009D0A3A"/>
    <w:rsid w:val="009D20A4"/>
    <w:rsid w:val="00A27EB4"/>
    <w:rsid w:val="00A306BC"/>
    <w:rsid w:val="00A42930"/>
    <w:rsid w:val="00A46070"/>
    <w:rsid w:val="00A75711"/>
    <w:rsid w:val="00A75E22"/>
    <w:rsid w:val="00A81C07"/>
    <w:rsid w:val="00AB3FB0"/>
    <w:rsid w:val="00AB64B6"/>
    <w:rsid w:val="00AB744E"/>
    <w:rsid w:val="00B02157"/>
    <w:rsid w:val="00B309E9"/>
    <w:rsid w:val="00B91BD3"/>
    <w:rsid w:val="00BD53EE"/>
    <w:rsid w:val="00BD7C81"/>
    <w:rsid w:val="00BF246B"/>
    <w:rsid w:val="00C860BC"/>
    <w:rsid w:val="00C91364"/>
    <w:rsid w:val="00CC6B93"/>
    <w:rsid w:val="00CD0937"/>
    <w:rsid w:val="00CE00F7"/>
    <w:rsid w:val="00CF4FB1"/>
    <w:rsid w:val="00D16176"/>
    <w:rsid w:val="00D30D09"/>
    <w:rsid w:val="00D33150"/>
    <w:rsid w:val="00D55A26"/>
    <w:rsid w:val="00D72601"/>
    <w:rsid w:val="00D77C98"/>
    <w:rsid w:val="00DA3301"/>
    <w:rsid w:val="00DF4823"/>
    <w:rsid w:val="00DF6C19"/>
    <w:rsid w:val="00E27989"/>
    <w:rsid w:val="00E46179"/>
    <w:rsid w:val="00E653AC"/>
    <w:rsid w:val="00EB19C2"/>
    <w:rsid w:val="00EE6996"/>
    <w:rsid w:val="00F63B34"/>
    <w:rsid w:val="00F76DFF"/>
    <w:rsid w:val="00FF78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BD5B20A"/>
  <w15:chartTrackingRefBased/>
  <w15:docId w15:val="{3AEB8C18-3EDF-4511-886B-CFCE176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rPr>
  </w:style>
  <w:style w:type="paragraph" w:styleId="1">
    <w:name w:val="heading 1"/>
    <w:basedOn w:val="a"/>
    <w:next w:val="a"/>
    <w:qFormat/>
    <w:pPr>
      <w:keepNext/>
      <w:numPr>
        <w:numId w:val="1"/>
      </w:numPr>
      <w:spacing w:before="240" w:after="60" w:line="360" w:lineRule="auto"/>
      <w:outlineLvl w:val="0"/>
    </w:pPr>
    <w:rPr>
      <w:rFonts w:ascii="Tahoma" w:hAnsi="Tahoma" w:cs="Arial"/>
      <w:b/>
      <w:bCs/>
      <w:kern w:val="32"/>
      <w:sz w:val="24"/>
      <w:szCs w:val="24"/>
    </w:rPr>
  </w:style>
  <w:style w:type="paragraph" w:styleId="2">
    <w:name w:val="heading 2"/>
    <w:basedOn w:val="a"/>
    <w:qFormat/>
    <w:pPr>
      <w:numPr>
        <w:ilvl w:val="1"/>
        <w:numId w:val="1"/>
      </w:numPr>
      <w:spacing w:before="100" w:beforeAutospacing="1" w:after="100" w:afterAutospacing="1"/>
      <w:outlineLvl w:val="1"/>
    </w:pPr>
    <w:rPr>
      <w:b/>
      <w:bCs/>
      <w:sz w:val="24"/>
      <w:szCs w:val="36"/>
      <w:lang w:val="en-US" w:eastAsia="en-US"/>
    </w:rPr>
  </w:style>
  <w:style w:type="paragraph" w:styleId="3">
    <w:name w:val="heading 3"/>
    <w:basedOn w:val="a"/>
    <w:next w:val="a"/>
    <w:qFormat/>
    <w:pPr>
      <w:keepNext/>
      <w:numPr>
        <w:ilvl w:val="2"/>
        <w:numId w:val="1"/>
      </w:numPr>
      <w:spacing w:before="240" w:after="60"/>
      <w:outlineLvl w:val="2"/>
    </w:pPr>
    <w:rPr>
      <w:rFonts w:ascii="Tahoma" w:hAnsi="Tahoma" w:cs="Arial"/>
      <w:b/>
      <w:bCs/>
      <w:szCs w:val="26"/>
    </w:rPr>
  </w:style>
  <w:style w:type="paragraph" w:styleId="4">
    <w:name w:val="heading 4"/>
    <w:basedOn w:val="a"/>
    <w:next w:val="a"/>
    <w:qFormat/>
    <w:pPr>
      <w:keepNext/>
      <w:numPr>
        <w:ilvl w:val="3"/>
        <w:numId w:val="1"/>
      </w:numPr>
      <w:tabs>
        <w:tab w:val="left" w:pos="284"/>
      </w:tabs>
      <w:spacing w:before="240" w:after="60"/>
      <w:outlineLvl w:val="3"/>
    </w:pPr>
    <w:rPr>
      <w:rFonts w:ascii="Tahoma" w:hAnsi="Tahoma"/>
      <w:b/>
      <w:bCs/>
      <w:szCs w:val="28"/>
    </w:rPr>
  </w:style>
  <w:style w:type="paragraph" w:styleId="5">
    <w:name w:val="heading 5"/>
    <w:basedOn w:val="a"/>
    <w:next w:val="a"/>
    <w:qFormat/>
    <w:pPr>
      <w:keepNext/>
      <w:jc w:val="center"/>
      <w:outlineLvl w:val="4"/>
    </w:pPr>
    <w:rPr>
      <w:rFonts w:ascii="Tahoma" w:hAnsi="Tahoma" w:cs="Tahoma"/>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
    <w:name w:val="Hyperlink"/>
    <w:rPr>
      <w:color w:val="0000FF"/>
      <w:u w:val="single"/>
    </w:rPr>
  </w:style>
  <w:style w:type="character" w:styleId="a4">
    <w:name w:val="page number"/>
    <w:basedOn w:val="a0"/>
  </w:style>
  <w:style w:type="character" w:styleId="a5">
    <w:name w:val="Strong"/>
    <w:qFormat/>
    <w:rPr>
      <w:b/>
      <w:bCs/>
    </w:rPr>
  </w:style>
  <w:style w:type="character" w:customStyle="1" w:styleId="titles">
    <w:name w:val="titles"/>
    <w:basedOn w:val="a0"/>
  </w:style>
  <w:style w:type="paragraph" w:styleId="a6">
    <w:name w:val="Body Text"/>
    <w:basedOn w:val="a"/>
    <w:pPr>
      <w:jc w:val="center"/>
    </w:pPr>
  </w:style>
  <w:style w:type="paragraph" w:customStyle="1" w:styleId="CharCharCharCharCharCharCharCharCharChar">
    <w:name w:val="Char Char Char Char Char Char Char Char Char Char"/>
    <w:basedOn w:val="a"/>
    <w:pPr>
      <w:spacing w:after="160" w:line="240" w:lineRule="exact"/>
    </w:pPr>
    <w:rPr>
      <w:rFonts w:ascii="Verdana" w:eastAsia="Batang" w:hAnsi="Verdana"/>
      <w:sz w:val="20"/>
      <w:lang w:val="en-US" w:eastAsia="en-US"/>
    </w:rPr>
  </w:style>
  <w:style w:type="paragraph" w:styleId="a7">
    <w:name w:val="Balloon Text"/>
    <w:basedOn w:val="a"/>
    <w:semiHidden/>
    <w:rPr>
      <w:rFonts w:ascii="Tahoma" w:hAnsi="Tahoma" w:cs="Tahoma"/>
      <w:sz w:val="16"/>
      <w:szCs w:val="16"/>
    </w:rPr>
  </w:style>
  <w:style w:type="paragraph" w:styleId="a8">
    <w:name w:val="footer"/>
    <w:basedOn w:val="a"/>
    <w:pPr>
      <w:tabs>
        <w:tab w:val="center" w:pos="4153"/>
        <w:tab w:val="right" w:pos="8306"/>
      </w:tabs>
    </w:pPr>
  </w:style>
  <w:style w:type="paragraph" w:styleId="a9">
    <w:name w:val="header"/>
    <w:basedOn w:val="a"/>
    <w:pPr>
      <w:tabs>
        <w:tab w:val="center" w:pos="4153"/>
        <w:tab w:val="right" w:pos="8306"/>
      </w:tabs>
    </w:pPr>
  </w:style>
  <w:style w:type="paragraph" w:styleId="Web">
    <w:name w:val="Normal (Web)"/>
    <w:basedOn w:val="a"/>
    <w:pPr>
      <w:spacing w:before="100" w:beforeAutospacing="1" w:after="100" w:afterAutospacing="1"/>
    </w:pPr>
    <w:rPr>
      <w:rFonts w:ascii="Times New Roman" w:hAnsi="Times New Roman"/>
      <w:sz w:val="24"/>
      <w:szCs w:val="24"/>
    </w:rPr>
  </w:style>
  <w:style w:type="paragraph" w:styleId="aa">
    <w:name w:val="Title"/>
    <w:basedOn w:val="a"/>
    <w:qFormat/>
    <w:pPr>
      <w:jc w:val="center"/>
    </w:pPr>
    <w:rPr>
      <w:rFonts w:ascii="Times New Roman" w:hAnsi="Times New Roman"/>
      <w:b/>
      <w:sz w:val="28"/>
      <w:szCs w:val="28"/>
    </w:rPr>
  </w:style>
  <w:style w:type="paragraph" w:customStyle="1" w:styleId="Char">
    <w:name w:val="Char"/>
    <w:basedOn w:val="a"/>
    <w:rPr>
      <w:rFonts w:ascii="Times New Roman" w:hAnsi="Times New Roman"/>
      <w:sz w:val="24"/>
      <w:szCs w:val="24"/>
      <w:lang w:val="pl-PL" w:eastAsia="pl-PL"/>
    </w:rPr>
  </w:style>
  <w:style w:type="table" w:styleId="ab">
    <w:name w:val="Table Grid"/>
    <w:basedOn w:val="a1"/>
    <w:uiPriority w:val="39"/>
    <w:rsid w:val="009A3F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851">
      <w:bodyDiv w:val="1"/>
      <w:marLeft w:val="0"/>
      <w:marRight w:val="0"/>
      <w:marTop w:val="0"/>
      <w:marBottom w:val="0"/>
      <w:divBdr>
        <w:top w:val="none" w:sz="0" w:space="0" w:color="auto"/>
        <w:left w:val="none" w:sz="0" w:space="0" w:color="auto"/>
        <w:bottom w:val="none" w:sz="0" w:space="0" w:color="auto"/>
        <w:right w:val="none" w:sz="0" w:space="0" w:color="auto"/>
      </w:divBdr>
    </w:div>
    <w:div w:id="630477842">
      <w:bodyDiv w:val="1"/>
      <w:marLeft w:val="0"/>
      <w:marRight w:val="0"/>
      <w:marTop w:val="0"/>
      <w:marBottom w:val="0"/>
      <w:divBdr>
        <w:top w:val="none" w:sz="0" w:space="0" w:color="auto"/>
        <w:left w:val="none" w:sz="0" w:space="0" w:color="auto"/>
        <w:bottom w:val="none" w:sz="0" w:space="0" w:color="auto"/>
        <w:right w:val="none" w:sz="0" w:space="0" w:color="auto"/>
      </w:divBdr>
    </w:div>
    <w:div w:id="666910001">
      <w:bodyDiv w:val="1"/>
      <w:marLeft w:val="0"/>
      <w:marRight w:val="0"/>
      <w:marTop w:val="0"/>
      <w:marBottom w:val="0"/>
      <w:divBdr>
        <w:top w:val="none" w:sz="0" w:space="0" w:color="auto"/>
        <w:left w:val="none" w:sz="0" w:space="0" w:color="auto"/>
        <w:bottom w:val="none" w:sz="0" w:space="0" w:color="auto"/>
        <w:right w:val="none" w:sz="0" w:space="0" w:color="auto"/>
      </w:divBdr>
    </w:div>
    <w:div w:id="1101489829">
      <w:bodyDiv w:val="1"/>
      <w:marLeft w:val="0"/>
      <w:marRight w:val="0"/>
      <w:marTop w:val="0"/>
      <w:marBottom w:val="0"/>
      <w:divBdr>
        <w:top w:val="none" w:sz="0" w:space="0" w:color="auto"/>
        <w:left w:val="none" w:sz="0" w:space="0" w:color="auto"/>
        <w:bottom w:val="none" w:sz="0" w:space="0" w:color="auto"/>
        <w:right w:val="none" w:sz="0" w:space="0" w:color="auto"/>
      </w:divBdr>
    </w:div>
    <w:div w:id="1371343563">
      <w:bodyDiv w:val="1"/>
      <w:marLeft w:val="0"/>
      <w:marRight w:val="0"/>
      <w:marTop w:val="0"/>
      <w:marBottom w:val="0"/>
      <w:divBdr>
        <w:top w:val="none" w:sz="0" w:space="0" w:color="auto"/>
        <w:left w:val="none" w:sz="0" w:space="0" w:color="auto"/>
        <w:bottom w:val="none" w:sz="0" w:space="0" w:color="auto"/>
        <w:right w:val="none" w:sz="0" w:space="0" w:color="auto"/>
      </w:divBdr>
    </w:div>
    <w:div w:id="1584606235">
      <w:bodyDiv w:val="1"/>
      <w:marLeft w:val="0"/>
      <w:marRight w:val="0"/>
      <w:marTop w:val="0"/>
      <w:marBottom w:val="0"/>
      <w:divBdr>
        <w:top w:val="none" w:sz="0" w:space="0" w:color="auto"/>
        <w:left w:val="none" w:sz="0" w:space="0" w:color="auto"/>
        <w:bottom w:val="none" w:sz="0" w:space="0" w:color="auto"/>
        <w:right w:val="none" w:sz="0" w:space="0" w:color="auto"/>
      </w:divBdr>
    </w:div>
    <w:div w:id="1942642613">
      <w:bodyDiv w:val="1"/>
      <w:marLeft w:val="0"/>
      <w:marRight w:val="0"/>
      <w:marTop w:val="0"/>
      <w:marBottom w:val="0"/>
      <w:divBdr>
        <w:top w:val="none" w:sz="0" w:space="0" w:color="auto"/>
        <w:left w:val="none" w:sz="0" w:space="0" w:color="auto"/>
        <w:bottom w:val="none" w:sz="0" w:space="0" w:color="auto"/>
        <w:right w:val="none" w:sz="0" w:space="0" w:color="auto"/>
      </w:divBdr>
    </w:div>
    <w:div w:id="1968509741">
      <w:bodyDiv w:val="1"/>
      <w:marLeft w:val="0"/>
      <w:marRight w:val="0"/>
      <w:marTop w:val="0"/>
      <w:marBottom w:val="0"/>
      <w:divBdr>
        <w:top w:val="none" w:sz="0" w:space="0" w:color="auto"/>
        <w:left w:val="none" w:sz="0" w:space="0" w:color="auto"/>
        <w:bottom w:val="none" w:sz="0" w:space="0" w:color="auto"/>
        <w:right w:val="none" w:sz="0" w:space="0" w:color="auto"/>
      </w:divBdr>
    </w:div>
    <w:div w:id="2004701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pdm.gov.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en/policy/communication/euinmyregion/" TargetMode="External"/><Relationship Id="rId5" Type="http://schemas.openxmlformats.org/officeDocument/2006/relationships/footnotes" Target="footnotes.xml"/><Relationship Id="rId10" Type="http://schemas.openxmlformats.org/officeDocument/2006/relationships/hyperlink" Target="https://dmaked.pde.sch.gr/index.php/draseis/eu-in-my-region-202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ΓΡΑΦΕΙΟ ΝΟΜΑΡΧΗ</vt:lpstr>
    </vt:vector>
  </TitlesOfParts>
  <Company/>
  <LinksUpToDate>false</LinksUpToDate>
  <CharactersWithSpaces>4613</CharactersWithSpaces>
  <SharedDoc>false</SharedDoc>
  <HLinks>
    <vt:vector size="18" baseType="variant">
      <vt:variant>
        <vt:i4>917595</vt:i4>
      </vt:variant>
      <vt:variant>
        <vt:i4>6</vt:i4>
      </vt:variant>
      <vt:variant>
        <vt:i4>0</vt:i4>
      </vt:variant>
      <vt:variant>
        <vt:i4>5</vt:i4>
      </vt:variant>
      <vt:variant>
        <vt:lpwstr>http://www.pepdym.gr/</vt:lpwstr>
      </vt:variant>
      <vt:variant>
        <vt:lpwstr/>
      </vt:variant>
      <vt:variant>
        <vt:i4>2818131</vt:i4>
      </vt:variant>
      <vt:variant>
        <vt:i4>3</vt:i4>
      </vt:variant>
      <vt:variant>
        <vt:i4>0</vt:i4>
      </vt:variant>
      <vt:variant>
        <vt:i4>5</vt:i4>
      </vt:variant>
      <vt:variant>
        <vt:lpwstr>mailto:pr@pdm.gov.gr</vt:lpwstr>
      </vt:variant>
      <vt:variant>
        <vt:lpwstr/>
      </vt:variant>
      <vt:variant>
        <vt:i4>4391026</vt:i4>
      </vt:variant>
      <vt:variant>
        <vt:i4>0</vt:i4>
      </vt:variant>
      <vt:variant>
        <vt:i4>0</vt:i4>
      </vt:variant>
      <vt:variant>
        <vt:i4>5</vt:i4>
      </vt:variant>
      <vt:variant>
        <vt:lpwstr>mailto:press@pdm.gov.gr,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ΝΟΜΑΡΧΗ</dc:title>
  <dc:subject/>
  <dc:creator>user</dc:creator>
  <cp:keywords/>
  <cp:lastModifiedBy>ΑΥΓΟΥΣΤΙΝΑΚΗ ΒΙΡΓΙΝΙΑ</cp:lastModifiedBy>
  <cp:revision>4</cp:revision>
  <cp:lastPrinted>2022-04-29T15:03:00Z</cp:lastPrinted>
  <dcterms:created xsi:type="dcterms:W3CDTF">2022-05-04T10:41:00Z</dcterms:created>
  <dcterms:modified xsi:type="dcterms:W3CDTF">2022-05-04T10:47:00Z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